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7"/>
        <w:gridCol w:w="658"/>
        <w:gridCol w:w="6637"/>
      </w:tblGrid>
      <w:tr w:rsidR="0012636F" w:rsidRPr="00EE5BE1" w14:paraId="22AF04A2" w14:textId="77777777" w:rsidTr="00A65D15">
        <w:tc>
          <w:tcPr>
            <w:tcW w:w="0" w:type="auto"/>
            <w:gridSpan w:val="3"/>
            <w:shd w:val="clear" w:color="auto" w:fill="A8D08D" w:themeFill="accent6" w:themeFillTint="99"/>
          </w:tcPr>
          <w:p w14:paraId="4DB23254" w14:textId="77777777" w:rsidR="000263B0" w:rsidRDefault="000263B0" w:rsidP="00A65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12636F" w:rsidRPr="00E4267A">
              <w:rPr>
                <w:rFonts w:ascii="Arial" w:hAnsi="Arial" w:cs="Arial"/>
                <w:b/>
                <w:sz w:val="24"/>
                <w:szCs w:val="24"/>
              </w:rPr>
              <w:t>Principes de Mobilité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OUT-GOING </w:t>
            </w:r>
            <w:r w:rsidR="005618C1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12636F" w:rsidRPr="00E4267A">
              <w:rPr>
                <w:rFonts w:ascii="Arial" w:hAnsi="Arial" w:cs="Arial"/>
                <w:b/>
                <w:sz w:val="24"/>
                <w:szCs w:val="24"/>
              </w:rPr>
              <w:t>cadémique</w:t>
            </w:r>
          </w:p>
          <w:p w14:paraId="48418FDD" w14:textId="77777777" w:rsidR="000D7C2D" w:rsidRDefault="0012636F" w:rsidP="00A65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267A">
              <w:rPr>
                <w:rFonts w:ascii="Arial" w:hAnsi="Arial" w:cs="Arial"/>
                <w:b/>
                <w:sz w:val="24"/>
                <w:szCs w:val="24"/>
              </w:rPr>
              <w:t xml:space="preserve"> Catégorie Agronomique </w:t>
            </w:r>
          </w:p>
          <w:p w14:paraId="1638F8D7" w14:textId="0FE9B254" w:rsidR="00A10A3B" w:rsidRPr="00EE5BE1" w:rsidRDefault="005C54FF" w:rsidP="00A10A3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7A612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22DEA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-20</w:t>
            </w:r>
            <w:r w:rsidR="007A612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22DE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771A1F" w:rsidRPr="00CD6B77" w14:paraId="6D92F581" w14:textId="77777777" w:rsidTr="00A65D15">
        <w:tc>
          <w:tcPr>
            <w:tcW w:w="0" w:type="auto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2F517AFE" w14:textId="77777777" w:rsidR="0012636F" w:rsidRPr="00730D83" w:rsidRDefault="0012636F" w:rsidP="00A65D15">
            <w:pPr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9C9C9" w:themeFill="accent3" w:themeFillTint="99"/>
          </w:tcPr>
          <w:p w14:paraId="63E82854" w14:textId="77777777" w:rsidR="0012636F" w:rsidRPr="00730D83" w:rsidRDefault="0012636F" w:rsidP="00A65D15">
            <w:pPr>
              <w:jc w:val="center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9C9C9" w:themeFill="accent3" w:themeFillTint="99"/>
          </w:tcPr>
          <w:p w14:paraId="5C601859" w14:textId="77777777" w:rsidR="0012636F" w:rsidRPr="00CD6B77" w:rsidRDefault="0012636F" w:rsidP="00A65D15">
            <w:pPr>
              <w:jc w:val="center"/>
            </w:pPr>
          </w:p>
        </w:tc>
      </w:tr>
      <w:tr w:rsidR="00771A1F" w:rsidRPr="00730D83" w14:paraId="08034E4E" w14:textId="77777777" w:rsidTr="00A65D15">
        <w:tc>
          <w:tcPr>
            <w:tcW w:w="0" w:type="auto"/>
            <w:shd w:val="clear" w:color="auto" w:fill="DBDBDB" w:themeFill="accent3" w:themeFillTint="66"/>
          </w:tcPr>
          <w:p w14:paraId="39E15AA3" w14:textId="77777777" w:rsidR="0012636F" w:rsidRPr="00E4267A" w:rsidRDefault="0012636F" w:rsidP="00A65D15">
            <w:pPr>
              <w:rPr>
                <w:rFonts w:ascii="Arial" w:hAnsi="Arial" w:cs="Arial"/>
                <w:sz w:val="24"/>
                <w:szCs w:val="24"/>
              </w:rPr>
            </w:pPr>
            <w:r w:rsidRPr="00E4267A">
              <w:rPr>
                <w:rFonts w:ascii="Arial" w:hAnsi="Arial" w:cs="Arial"/>
                <w:sz w:val="24"/>
                <w:szCs w:val="24"/>
              </w:rPr>
              <w:t>Durée de la mobilité académique</w:t>
            </w:r>
          </w:p>
        </w:tc>
        <w:tc>
          <w:tcPr>
            <w:tcW w:w="0" w:type="auto"/>
          </w:tcPr>
          <w:p w14:paraId="155EF3F6" w14:textId="77777777" w:rsidR="0012636F" w:rsidRPr="00730D83" w:rsidRDefault="0012636F" w:rsidP="00A65D15">
            <w:pPr>
              <w:jc w:val="center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0" w:type="auto"/>
          </w:tcPr>
          <w:p w14:paraId="76C1E88D" w14:textId="77777777" w:rsidR="0012636F" w:rsidRPr="00E4267A" w:rsidRDefault="0012636F" w:rsidP="00194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267A">
              <w:rPr>
                <w:rFonts w:ascii="Arial" w:hAnsi="Arial" w:cs="Arial"/>
                <w:sz w:val="24"/>
                <w:szCs w:val="24"/>
              </w:rPr>
              <w:t xml:space="preserve">Un quadrimestre ou 1 an </w:t>
            </w:r>
          </w:p>
        </w:tc>
      </w:tr>
      <w:tr w:rsidR="002A3227" w:rsidRPr="00730D83" w14:paraId="6E7918CD" w14:textId="77777777" w:rsidTr="00A65D15">
        <w:tc>
          <w:tcPr>
            <w:tcW w:w="0" w:type="auto"/>
            <w:shd w:val="clear" w:color="auto" w:fill="DBDBDB" w:themeFill="accent3" w:themeFillTint="66"/>
          </w:tcPr>
          <w:p w14:paraId="01DFBB2A" w14:textId="77777777" w:rsidR="0012636F" w:rsidRPr="00E4267A" w:rsidRDefault="0012636F" w:rsidP="00A65D15">
            <w:pPr>
              <w:rPr>
                <w:rFonts w:ascii="Arial" w:hAnsi="Arial" w:cs="Arial"/>
                <w:sz w:val="24"/>
                <w:szCs w:val="24"/>
              </w:rPr>
            </w:pPr>
            <w:r w:rsidRPr="00E4267A">
              <w:rPr>
                <w:rFonts w:ascii="Arial" w:hAnsi="Arial" w:cs="Arial"/>
                <w:sz w:val="24"/>
                <w:szCs w:val="24"/>
              </w:rPr>
              <w:t xml:space="preserve">Sélection des étudiants candidats </w:t>
            </w:r>
          </w:p>
        </w:tc>
        <w:tc>
          <w:tcPr>
            <w:tcW w:w="0" w:type="auto"/>
            <w:gridSpan w:val="2"/>
          </w:tcPr>
          <w:p w14:paraId="7F1BEFE7" w14:textId="77777777" w:rsidR="00E4267A" w:rsidRPr="00E4267A" w:rsidRDefault="0012636F" w:rsidP="00E4267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E4267A">
              <w:rPr>
                <w:rFonts w:ascii="Arial" w:hAnsi="Arial" w:cs="Arial"/>
                <w:sz w:val="24"/>
                <w:szCs w:val="24"/>
                <w:lang w:val="fr-FR"/>
              </w:rPr>
              <w:t>Une seule mobilité académique est autorisée par cycle d’études.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206"/>
              <w:gridCol w:w="3067"/>
            </w:tblGrid>
            <w:tr w:rsidR="00CA35FF" w14:paraId="2F317B14" w14:textId="77777777" w:rsidTr="00FD01C6">
              <w:tc>
                <w:tcPr>
                  <w:tcW w:w="3206" w:type="dxa"/>
                </w:tcPr>
                <w:p w14:paraId="6DCF7338" w14:textId="77777777" w:rsidR="00CA35FF" w:rsidRDefault="00CA35FF" w:rsidP="00E4267A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En Techniques et Gestion A</w:t>
                  </w:r>
                  <w:r w:rsidR="00CD6932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gricoles</w:t>
                  </w:r>
                  <w:r w:rsidR="00771A1F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 et Horticoles</w:t>
                  </w:r>
                  <w:r w:rsidR="00CD6932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0D7C2D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- </w:t>
                  </w:r>
                  <w:r w:rsidR="00771A1F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Architecture </w:t>
                  </w:r>
                  <w:r w:rsidR="006862C8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des jardins et du paysage (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Bachelier</w:t>
                  </w:r>
                  <w:r w:rsidR="006862C8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s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 professionnalisant</w:t>
                  </w:r>
                  <w:r w:rsidR="006862C8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s)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Pr="00CA35FF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:</w:t>
                  </w:r>
                </w:p>
                <w:p w14:paraId="4A841751" w14:textId="77777777" w:rsidR="00CA35FF" w:rsidRPr="00E4267A" w:rsidRDefault="00CA35FF" w:rsidP="00CA35FF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-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 l</w:t>
                  </w: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’étudiant ne peut partir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au Q3</w:t>
                  </w:r>
                  <w:r w:rsidR="002D0D49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 et/ou 4</w:t>
                  </w: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que si les 60 ECTS des Q1 et Q2 </w:t>
                  </w: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sont crédités. </w:t>
                  </w:r>
                </w:p>
                <w:p w14:paraId="487F4E86" w14:textId="77777777" w:rsidR="00CA35FF" w:rsidRPr="00E4267A" w:rsidRDefault="00CA35FF" w:rsidP="00CA35FF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- l’étudiant ne peut partir au seu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l Q5 </w:t>
                  </w: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qu</w:t>
                  </w:r>
                  <w:r w:rsidR="00A00034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e si un minimum de 120</w:t>
                  </w:r>
                  <w:r w:rsidR="00774A12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 ECTS est crédité</w:t>
                  </w: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. </w:t>
                  </w:r>
                </w:p>
                <w:p w14:paraId="56F44B30" w14:textId="77777777" w:rsidR="00CA35FF" w:rsidRPr="00E4267A" w:rsidRDefault="00CA35FF" w:rsidP="00CA35F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 -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l</w:t>
                  </w: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es « S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tage et TFE » du Q6</w:t>
                  </w: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 ne peuvent pas se faire dans le cadre d’une mobilité académique.</w:t>
                  </w:r>
                </w:p>
                <w:p w14:paraId="74F5487A" w14:textId="77777777" w:rsidR="00CA35FF" w:rsidRPr="00CA35FF" w:rsidRDefault="00CA35FF" w:rsidP="00E4267A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14:paraId="00EA5A93" w14:textId="77777777" w:rsidR="00CA35FF" w:rsidRDefault="000D7C2D" w:rsidP="00E4267A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En Bachelier de transition -</w:t>
                  </w:r>
                  <w:r w:rsidR="006862C8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CA35FF" w:rsidRPr="00CA35FF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Master en Sciences de l’in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génieur industriel en Agronomie </w:t>
                  </w:r>
                </w:p>
                <w:p w14:paraId="39A15C65" w14:textId="77777777" w:rsidR="00CA35FF" w:rsidRPr="00E4267A" w:rsidRDefault="00CA35FF" w:rsidP="00CA35FF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- l’étudiant ne peut pas partir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avant le Q5.</w:t>
                  </w: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 </w:t>
                  </w:r>
                </w:p>
                <w:p w14:paraId="7E6261DC" w14:textId="77777777" w:rsidR="00CA35FF" w:rsidRPr="00E4267A" w:rsidRDefault="00CA35FF" w:rsidP="00CA35FF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- l’étudiant ne peut partir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au Q5</w:t>
                  </w:r>
                  <w:r w:rsidR="002D0D49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 et/ou 6</w:t>
                  </w:r>
                  <w:r w:rsidR="00A00034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 que si un minimum de 120</w:t>
                  </w: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 ECTS </w:t>
                  </w:r>
                  <w:r w:rsidR="00C605B3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est crédité</w:t>
                  </w: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. </w:t>
                  </w:r>
                </w:p>
                <w:p w14:paraId="1F51320E" w14:textId="77777777" w:rsidR="00CA35FF" w:rsidRPr="00E4267A" w:rsidRDefault="00CA35FF" w:rsidP="00CA35FF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- l’étudiant ne peut partir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au Q7</w:t>
                  </w:r>
                  <w:r w:rsidR="002D0D49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et/ou 8</w:t>
                  </w: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 q</w:t>
                  </w:r>
                  <w:r w:rsidR="00A00034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ue si un minimum de 180</w:t>
                  </w:r>
                  <w:r w:rsidR="00C605B3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 ECTS est crédité</w:t>
                  </w: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. </w:t>
                  </w:r>
                </w:p>
                <w:p w14:paraId="08FA03C1" w14:textId="77777777" w:rsidR="00CA35FF" w:rsidRPr="00E4267A" w:rsidRDefault="00CA35FF" w:rsidP="00CA35FF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- l’étudiant ne peut partir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au Q9 </w:t>
                  </w: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q</w:t>
                  </w:r>
                  <w:r w:rsidR="00A00034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ue si un minimum de 240</w:t>
                  </w:r>
                  <w:r w:rsidR="00753E68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 ECTS est crédité</w:t>
                  </w: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. </w:t>
                  </w:r>
                </w:p>
                <w:p w14:paraId="7A6EAD38" w14:textId="77777777" w:rsidR="00CA35FF" w:rsidRPr="00E4267A" w:rsidRDefault="00CA35FF" w:rsidP="00CA35FF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-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l</w:t>
                  </w: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es « Stage et TFE » du 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Q10</w:t>
                  </w: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 ne peuvent pas se faire dans le cadre d’une mobilité académique.</w:t>
                  </w:r>
                </w:p>
                <w:p w14:paraId="02F840B2" w14:textId="77777777" w:rsidR="001D16F2" w:rsidRDefault="00CA35FF" w:rsidP="00CA35FF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-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u</w:t>
                  </w: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n étudia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nt parti en Q5 et/ouQ6</w:t>
                  </w: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 ne peut pas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 repartir en Q7 et/ou Q8 mais bien au seul Q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9 </w:t>
                  </w:r>
                  <w:r w:rsidRPr="00E4267A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.</w:t>
                  </w:r>
                  <w:proofErr w:type="gramEnd"/>
                </w:p>
                <w:p w14:paraId="08D6B02E" w14:textId="77777777" w:rsidR="001D16F2" w:rsidRPr="001D16F2" w:rsidRDefault="001D16F2" w:rsidP="00CA35FF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534BF8">
                    <w:rPr>
                      <w:rFonts w:ascii="Arial" w:hAnsi="Arial" w:cs="Arial"/>
                      <w:color w:val="00B05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84B78BD" w14:textId="77777777" w:rsidR="00753E68" w:rsidRDefault="00753E68" w:rsidP="00194CDA">
            <w:pPr>
              <w:rPr>
                <w:rFonts w:ascii="Andalus" w:hAnsi="Andalus" w:cs="Andalus"/>
                <w:sz w:val="24"/>
                <w:szCs w:val="24"/>
                <w:lang w:val="fr-FR"/>
              </w:rPr>
            </w:pPr>
          </w:p>
          <w:p w14:paraId="2263A405" w14:textId="77777777" w:rsidR="00194CDA" w:rsidRDefault="00194CDA" w:rsidP="00194CDA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</w:pPr>
            <w:r w:rsidRPr="00E4267A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>Généralités :</w:t>
            </w:r>
          </w:p>
          <w:p w14:paraId="63981C3C" w14:textId="77777777" w:rsidR="00306578" w:rsidRPr="00306578" w:rsidRDefault="00306578" w:rsidP="0030657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06578">
              <w:rPr>
                <w:rFonts w:ascii="Arial" w:hAnsi="Arial" w:cs="Arial"/>
                <w:sz w:val="24"/>
                <w:szCs w:val="24"/>
                <w:lang w:val="fr-FR"/>
              </w:rPr>
              <w:t>C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o</w:t>
            </w:r>
            <w:r w:rsidR="00753E68">
              <w:rPr>
                <w:rFonts w:ascii="Arial" w:hAnsi="Arial" w:cs="Arial"/>
                <w:sz w:val="24"/>
                <w:szCs w:val="24"/>
                <w:lang w:val="fr-FR"/>
              </w:rPr>
              <w:t>ncernant les Articles « 111 » (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les étudiants diplômés de cycle court désirant continuer leurs études par un cycle long), pour qu’une candidature à la mobilité académique soit acceptée, ces derniers doi</w:t>
            </w:r>
            <w:r w:rsidR="009E0E2D">
              <w:rPr>
                <w:rFonts w:ascii="Arial" w:hAnsi="Arial" w:cs="Arial"/>
                <w:sz w:val="24"/>
                <w:szCs w:val="24"/>
                <w:lang w:val="fr-FR"/>
              </w:rPr>
              <w:t xml:space="preserve">vent </w:t>
            </w:r>
            <w:r w:rsidR="008D3E2F">
              <w:rPr>
                <w:rFonts w:ascii="Arial" w:hAnsi="Arial" w:cs="Arial"/>
                <w:sz w:val="24"/>
                <w:szCs w:val="24"/>
                <w:lang w:val="fr-FR"/>
              </w:rPr>
              <w:t xml:space="preserve">au minimum </w:t>
            </w:r>
            <w:r w:rsidR="009E0E2D">
              <w:rPr>
                <w:rFonts w:ascii="Arial" w:hAnsi="Arial" w:cs="Arial"/>
                <w:sz w:val="24"/>
                <w:szCs w:val="24"/>
                <w:lang w:val="fr-FR"/>
              </w:rPr>
              <w:t xml:space="preserve">avoir crédité </w:t>
            </w:r>
            <w:r w:rsidR="009E0E2D" w:rsidRPr="00CD5D78">
              <w:rPr>
                <w:rFonts w:ascii="Arial" w:hAnsi="Arial" w:cs="Arial"/>
                <w:sz w:val="24"/>
                <w:szCs w:val="24"/>
                <w:lang w:val="fr-FR"/>
              </w:rPr>
              <w:t>45</w:t>
            </w:r>
            <w:r w:rsidRPr="00CD5D78">
              <w:rPr>
                <w:rFonts w:ascii="Arial" w:hAnsi="Arial" w:cs="Arial"/>
                <w:sz w:val="24"/>
                <w:szCs w:val="24"/>
                <w:lang w:val="fr-FR"/>
              </w:rPr>
              <w:t xml:space="preserve"> ECTS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de </w:t>
            </w:r>
            <w:r w:rsidR="004047F5">
              <w:rPr>
                <w:rFonts w:ascii="Arial" w:hAnsi="Arial" w:cs="Arial"/>
                <w:sz w:val="24"/>
                <w:szCs w:val="24"/>
                <w:lang w:val="fr-FR"/>
              </w:rPr>
              <w:t xml:space="preserve">son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programme de régularisation.</w:t>
            </w:r>
          </w:p>
          <w:p w14:paraId="5D8005C5" w14:textId="77777777" w:rsidR="00CD5D78" w:rsidRDefault="00EF407E" w:rsidP="00194CD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4267A">
              <w:rPr>
                <w:rFonts w:ascii="Arial" w:hAnsi="Arial" w:cs="Arial"/>
                <w:sz w:val="24"/>
                <w:szCs w:val="24"/>
              </w:rPr>
              <w:t>Dans le cadre  du classement « destinations » (en cas d’excès de demande par rapport à l’offre), la priorité est donnée aux étudiants de fin de cycle. Parmi ces derniers, si un excès de demande par rapport à l’offre existe encore, les résultats de janvier serviront à départager les candidats.</w:t>
            </w:r>
          </w:p>
          <w:p w14:paraId="136A422B" w14:textId="77777777" w:rsidR="007967E3" w:rsidRPr="00053E62" w:rsidRDefault="00CD5D78" w:rsidP="00CD5D7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Dans le cas de crédits pris dans le bloc ultérieur, la possibilité de partir ou non en mobilité sera prise au cas par cas.</w:t>
            </w:r>
          </w:p>
        </w:tc>
      </w:tr>
      <w:tr w:rsidR="00EB1981" w:rsidRPr="00322DEA" w14:paraId="1F12CFAB" w14:textId="77777777" w:rsidTr="00A65D15">
        <w:tc>
          <w:tcPr>
            <w:tcW w:w="0" w:type="auto"/>
            <w:shd w:val="clear" w:color="auto" w:fill="DBDBDB" w:themeFill="accent3" w:themeFillTint="66"/>
          </w:tcPr>
          <w:p w14:paraId="36B95E9E" w14:textId="77777777" w:rsidR="00EB1981" w:rsidRPr="003F514A" w:rsidRDefault="00EB1981" w:rsidP="00EB1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14A">
              <w:rPr>
                <w:rFonts w:ascii="Arial" w:hAnsi="Arial" w:cs="Arial"/>
                <w:b/>
                <w:sz w:val="24"/>
                <w:szCs w:val="24"/>
              </w:rPr>
              <w:lastRenderedPageBreak/>
              <w:t>Pour les étudiants AP</w:t>
            </w:r>
          </w:p>
        </w:tc>
        <w:tc>
          <w:tcPr>
            <w:tcW w:w="0" w:type="auto"/>
            <w:gridSpan w:val="2"/>
          </w:tcPr>
          <w:p w14:paraId="006FADD7" w14:textId="575B18BF" w:rsidR="00EB1981" w:rsidRPr="003F514A" w:rsidRDefault="00EB1981" w:rsidP="00E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514A">
              <w:rPr>
                <w:rFonts w:ascii="Arial" w:hAnsi="Arial" w:cs="Arial"/>
                <w:color w:val="000000"/>
                <w:sz w:val="24"/>
                <w:szCs w:val="24"/>
              </w:rPr>
              <w:t xml:space="preserve">Concernant l’ensemble des </w:t>
            </w:r>
            <w:r w:rsidRPr="003F514A">
              <w:rPr>
                <w:rFonts w:ascii="Arial" w:hAnsi="Arial" w:cs="Arial"/>
                <w:b/>
                <w:bCs/>
                <w:sz w:val="24"/>
                <w:szCs w:val="24"/>
              </w:rPr>
              <w:t>PROCÉDURES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ET DES PRINCIPES</w:t>
            </w:r>
            <w:r w:rsidR="00214A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F514A">
              <w:rPr>
                <w:rFonts w:ascii="Arial" w:hAnsi="Arial" w:cs="Arial"/>
                <w:b/>
                <w:bCs/>
                <w:sz w:val="24"/>
                <w:szCs w:val="24"/>
              </w:rPr>
              <w:t>D'ACCÈS À LA MOBILITÉ DES ÉTUDIANT(E)S ARCHITECTES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F514A">
              <w:rPr>
                <w:rFonts w:ascii="Arial" w:hAnsi="Arial" w:cs="Arial"/>
                <w:b/>
                <w:bCs/>
                <w:sz w:val="24"/>
                <w:szCs w:val="24"/>
              </w:rPr>
              <w:t>PAYSAGISTES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F514A">
              <w:rPr>
                <w:rFonts w:ascii="Arial" w:hAnsi="Arial" w:cs="Arial"/>
                <w:b/>
                <w:bCs/>
                <w:sz w:val="24"/>
                <w:szCs w:val="24"/>
              </w:rPr>
              <w:t>MOBILITÉ "OUT"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3F514A">
              <w:rPr>
                <w:rFonts w:ascii="Arial" w:hAnsi="Arial" w:cs="Arial"/>
                <w:color w:val="000000"/>
                <w:sz w:val="24"/>
                <w:szCs w:val="24"/>
              </w:rPr>
              <w:t>e point de contact pour tous les étudiants architectes</w:t>
            </w:r>
            <w:r w:rsidR="000A67BE">
              <w:rPr>
                <w:rFonts w:ascii="Arial" w:hAnsi="Arial" w:cs="Arial"/>
                <w:color w:val="000000"/>
                <w:sz w:val="24"/>
                <w:szCs w:val="24"/>
              </w:rPr>
              <w:t xml:space="preserve"> paysagistes se fait à G</w:t>
            </w:r>
            <w:r w:rsidR="00E16DAE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r w:rsidR="000A67BE">
              <w:rPr>
                <w:rFonts w:ascii="Arial" w:hAnsi="Arial" w:cs="Arial"/>
                <w:color w:val="000000"/>
                <w:sz w:val="24"/>
                <w:szCs w:val="24"/>
              </w:rPr>
              <w:t>ABT/ULIEGE</w:t>
            </w:r>
            <w:r w:rsidRPr="003F514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14:paraId="576CCDCC" w14:textId="77777777" w:rsidR="00EB1981" w:rsidRPr="007A612A" w:rsidRDefault="00214AE4" w:rsidP="00E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nl-BE"/>
              </w:rPr>
            </w:pPr>
            <w:r w:rsidRPr="007A612A">
              <w:rPr>
                <w:rFonts w:ascii="Arial" w:hAnsi="Arial" w:cs="Arial"/>
                <w:color w:val="000000"/>
                <w:sz w:val="24"/>
                <w:szCs w:val="24"/>
                <w:lang w:val="nl-BE"/>
              </w:rPr>
              <w:t xml:space="preserve">Via </w:t>
            </w:r>
            <w:proofErr w:type="spellStart"/>
            <w:r w:rsidR="00EB1981" w:rsidRPr="007A612A">
              <w:rPr>
                <w:rFonts w:ascii="Arial" w:hAnsi="Arial" w:cs="Arial"/>
                <w:color w:val="000000"/>
                <w:sz w:val="24"/>
                <w:szCs w:val="24"/>
                <w:lang w:val="nl-BE"/>
              </w:rPr>
              <w:t>l’adresse</w:t>
            </w:r>
            <w:proofErr w:type="spellEnd"/>
            <w:r w:rsidR="00EB1981" w:rsidRPr="007A612A">
              <w:rPr>
                <w:rFonts w:ascii="Arial" w:hAnsi="Arial" w:cs="Arial"/>
                <w:color w:val="000000"/>
                <w:sz w:val="24"/>
                <w:szCs w:val="24"/>
                <w:lang w:val="nl-BE"/>
              </w:rPr>
              <w:t xml:space="preserve"> </w:t>
            </w:r>
            <w:r w:rsidR="000A67BE" w:rsidRPr="007A612A">
              <w:rPr>
                <w:rFonts w:ascii="Arial" w:hAnsi="Arial" w:cs="Arial"/>
                <w:color w:val="0000FF"/>
                <w:sz w:val="24"/>
                <w:szCs w:val="24"/>
                <w:lang w:val="nl-BE"/>
              </w:rPr>
              <w:t>erasmus.gembloux@uliege</w:t>
            </w:r>
            <w:r w:rsidR="00EB1981" w:rsidRPr="007A612A">
              <w:rPr>
                <w:rFonts w:ascii="Arial" w:hAnsi="Arial" w:cs="Arial"/>
                <w:color w:val="0000FF"/>
                <w:sz w:val="24"/>
                <w:szCs w:val="24"/>
                <w:lang w:val="nl-BE"/>
              </w:rPr>
              <w:t>.be</w:t>
            </w:r>
          </w:p>
          <w:p w14:paraId="041FE9E6" w14:textId="77777777" w:rsidR="00EB1981" w:rsidRPr="007A612A" w:rsidRDefault="00EB1981" w:rsidP="00E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nl-BE"/>
              </w:rPr>
            </w:pPr>
          </w:p>
          <w:p w14:paraId="575CD2E0" w14:textId="77777777" w:rsidR="00EB1981" w:rsidRPr="007A612A" w:rsidRDefault="00EB1981" w:rsidP="00EB1981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</w:p>
        </w:tc>
      </w:tr>
    </w:tbl>
    <w:p w14:paraId="2FB58300" w14:textId="77777777" w:rsidR="00076DA0" w:rsidRPr="007A612A" w:rsidRDefault="00076DA0">
      <w:pPr>
        <w:rPr>
          <w:lang w:val="nl-BE"/>
        </w:rPr>
      </w:pPr>
    </w:p>
    <w:tbl>
      <w:tblPr>
        <w:tblStyle w:val="Grilledutableau"/>
        <w:tblW w:w="9223" w:type="dxa"/>
        <w:tblLayout w:type="fixed"/>
        <w:tblLook w:val="04A0" w:firstRow="1" w:lastRow="0" w:firstColumn="1" w:lastColumn="0" w:noHBand="0" w:noVBand="1"/>
      </w:tblPr>
      <w:tblGrid>
        <w:gridCol w:w="3020"/>
        <w:gridCol w:w="236"/>
        <w:gridCol w:w="5953"/>
        <w:gridCol w:w="14"/>
      </w:tblGrid>
      <w:tr w:rsidR="003348CF" w:rsidRPr="00A2080E" w14:paraId="178275C7" w14:textId="77777777" w:rsidTr="00E16DAE">
        <w:trPr>
          <w:gridAfter w:val="1"/>
          <w:wAfter w:w="14" w:type="dxa"/>
        </w:trPr>
        <w:tc>
          <w:tcPr>
            <w:tcW w:w="3020" w:type="dxa"/>
            <w:shd w:val="clear" w:color="auto" w:fill="DBDBDB" w:themeFill="accent3" w:themeFillTint="66"/>
          </w:tcPr>
          <w:p w14:paraId="616F7376" w14:textId="77777777" w:rsidR="0012636F" w:rsidRPr="00E4267A" w:rsidRDefault="0012636F" w:rsidP="00A65D15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E4267A">
              <w:rPr>
                <w:rFonts w:ascii="Arial" w:hAnsi="Arial" w:cs="Arial"/>
                <w:sz w:val="24"/>
                <w:szCs w:val="24"/>
                <w:lang w:val="fr-FR"/>
              </w:rPr>
              <w:t>Confection du Learning Agreement</w:t>
            </w:r>
          </w:p>
          <w:p w14:paraId="0BAD5541" w14:textId="77777777" w:rsidR="004638E5" w:rsidRPr="00E4267A" w:rsidRDefault="004638E5" w:rsidP="00A65D15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3AC5ADC" w14:textId="77777777" w:rsidR="004638E5" w:rsidRDefault="004638E5" w:rsidP="00A65D15">
            <w:pPr>
              <w:rPr>
                <w:rFonts w:ascii="Andalus" w:hAnsi="Andalus" w:cs="Andalus"/>
                <w:sz w:val="24"/>
                <w:szCs w:val="24"/>
                <w:lang w:val="fr-FR"/>
              </w:rPr>
            </w:pPr>
          </w:p>
          <w:p w14:paraId="56265EE5" w14:textId="77777777" w:rsidR="004638E5" w:rsidRPr="00A2080E" w:rsidRDefault="004638E5" w:rsidP="00A65D15">
            <w:pPr>
              <w:rPr>
                <w:rFonts w:ascii="Andalus" w:hAnsi="Andalus" w:cs="Andalus"/>
                <w:sz w:val="24"/>
                <w:szCs w:val="24"/>
                <w:lang w:val="fr-FR"/>
              </w:rPr>
            </w:pPr>
          </w:p>
        </w:tc>
        <w:tc>
          <w:tcPr>
            <w:tcW w:w="6189" w:type="dxa"/>
            <w:gridSpan w:val="2"/>
          </w:tcPr>
          <w:p w14:paraId="19136125" w14:textId="255BEC02" w:rsidR="0012636F" w:rsidRPr="00053E62" w:rsidRDefault="007A612A" w:rsidP="00E07AE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La coordinatrice accompagne les étudiants sélectionnés à une mobilité académique pour </w:t>
            </w:r>
            <w:r w:rsidR="0012636F" w:rsidRPr="00E4267A">
              <w:rPr>
                <w:rFonts w:ascii="Arial" w:hAnsi="Arial" w:cs="Arial"/>
                <w:sz w:val="24"/>
                <w:szCs w:val="24"/>
                <w:lang w:val="fr-FR"/>
              </w:rPr>
              <w:t xml:space="preserve">la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rédaction </w:t>
            </w:r>
            <w:r w:rsidR="007967E3" w:rsidRPr="00E4267A">
              <w:rPr>
                <w:rFonts w:ascii="Arial" w:hAnsi="Arial" w:cs="Arial"/>
                <w:sz w:val="24"/>
                <w:szCs w:val="24"/>
                <w:lang w:val="fr-FR"/>
              </w:rPr>
              <w:t xml:space="preserve">du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L</w:t>
            </w:r>
            <w:r w:rsidR="007967E3" w:rsidRPr="00E4267A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A</w:t>
            </w:r>
            <w:r w:rsidR="007967E3" w:rsidRPr="00E4267A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(programme d’études dans l’établissement d’accueil) soit par échanges de courriel soit lors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rv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en présence à l’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Isia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ou par visioconférence. </w:t>
            </w:r>
            <w:r w:rsidR="0012636F" w:rsidRPr="00E4267A">
              <w:rPr>
                <w:rFonts w:ascii="Arial" w:hAnsi="Arial" w:cs="Arial"/>
                <w:sz w:val="24"/>
                <w:szCs w:val="24"/>
                <w:lang w:val="fr-FR"/>
              </w:rPr>
              <w:t xml:space="preserve">Une proposition cohérente de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L</w:t>
            </w:r>
            <w:r w:rsidR="0012636F" w:rsidRPr="00E4267A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A</w:t>
            </w:r>
            <w:r w:rsidR="0012636F" w:rsidRPr="00E4267A">
              <w:rPr>
                <w:rFonts w:ascii="Arial" w:hAnsi="Arial" w:cs="Arial"/>
                <w:sz w:val="24"/>
                <w:szCs w:val="24"/>
                <w:lang w:val="fr-FR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lui sera envoyée </w:t>
            </w:r>
            <w:r w:rsidR="0012636F" w:rsidRPr="00E4267A">
              <w:rPr>
                <w:rFonts w:ascii="Arial" w:hAnsi="Arial" w:cs="Arial"/>
                <w:sz w:val="24"/>
                <w:szCs w:val="24"/>
                <w:lang w:val="fr-FR"/>
              </w:rPr>
              <w:t xml:space="preserve">par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courriel au plus tard pour </w:t>
            </w:r>
            <w:r w:rsidR="0012636F" w:rsidRPr="00E4267A">
              <w:rPr>
                <w:rFonts w:ascii="Arial" w:hAnsi="Arial" w:cs="Arial"/>
                <w:sz w:val="24"/>
                <w:szCs w:val="24"/>
                <w:lang w:val="fr-FR"/>
              </w:rPr>
              <w:t>1</w:t>
            </w:r>
            <w:r w:rsidRPr="007A612A">
              <w:rPr>
                <w:rFonts w:ascii="Arial" w:hAnsi="Arial" w:cs="Arial"/>
                <w:sz w:val="24"/>
                <w:szCs w:val="24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12636F" w:rsidRPr="00E4267A">
              <w:rPr>
                <w:rFonts w:ascii="Arial" w:hAnsi="Arial" w:cs="Arial"/>
                <w:sz w:val="24"/>
                <w:szCs w:val="24"/>
                <w:lang w:val="fr-FR"/>
              </w:rPr>
              <w:t xml:space="preserve">mai. </w:t>
            </w:r>
            <w:r w:rsidR="003348CF">
              <w:rPr>
                <w:rFonts w:ascii="Arial" w:hAnsi="Arial" w:cs="Arial"/>
                <w:sz w:val="24"/>
                <w:szCs w:val="24"/>
                <w:lang w:val="fr-FR"/>
              </w:rPr>
              <w:t>Une fois validée et signée par la coordinatrice, l</w:t>
            </w:r>
            <w:r w:rsidR="0012636F" w:rsidRPr="00E4267A">
              <w:rPr>
                <w:rFonts w:ascii="Arial" w:hAnsi="Arial" w:cs="Arial"/>
                <w:sz w:val="24"/>
                <w:szCs w:val="24"/>
                <w:lang w:val="fr-FR"/>
              </w:rPr>
              <w:t xml:space="preserve">a proposition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sera envoyée </w:t>
            </w:r>
            <w:r w:rsidR="0012636F" w:rsidRPr="00E4267A">
              <w:rPr>
                <w:rFonts w:ascii="Arial" w:hAnsi="Arial" w:cs="Arial"/>
                <w:sz w:val="24"/>
                <w:szCs w:val="24"/>
                <w:lang w:val="fr-FR"/>
              </w:rPr>
              <w:t xml:space="preserve">par courriel par le candidat au </w:t>
            </w:r>
            <w:r w:rsidR="003348CF">
              <w:rPr>
                <w:rFonts w:ascii="Arial" w:hAnsi="Arial" w:cs="Arial"/>
                <w:sz w:val="24"/>
                <w:szCs w:val="24"/>
                <w:lang w:val="fr-FR"/>
              </w:rPr>
              <w:t>c</w:t>
            </w:r>
            <w:r w:rsidR="0012636F" w:rsidRPr="00E4267A">
              <w:rPr>
                <w:rFonts w:ascii="Arial" w:hAnsi="Arial" w:cs="Arial"/>
                <w:sz w:val="24"/>
                <w:szCs w:val="24"/>
                <w:lang w:val="fr-FR"/>
              </w:rPr>
              <w:t xml:space="preserve">oordinateur </w:t>
            </w:r>
            <w:r w:rsidR="003348CF">
              <w:rPr>
                <w:rFonts w:ascii="Arial" w:hAnsi="Arial" w:cs="Arial"/>
                <w:sz w:val="24"/>
                <w:szCs w:val="24"/>
                <w:lang w:val="fr-FR"/>
              </w:rPr>
              <w:t>d</w:t>
            </w:r>
            <w:r w:rsidR="0012636F" w:rsidRPr="00E4267A">
              <w:rPr>
                <w:rFonts w:ascii="Arial" w:hAnsi="Arial" w:cs="Arial"/>
                <w:sz w:val="24"/>
                <w:szCs w:val="24"/>
                <w:lang w:val="fr-FR"/>
              </w:rPr>
              <w:t xml:space="preserve">épartemental de l’Université d’accueil pour signature. </w:t>
            </w:r>
            <w:r w:rsidR="004638E5" w:rsidRPr="00E4267A">
              <w:rPr>
                <w:rFonts w:ascii="Arial" w:hAnsi="Arial" w:cs="Arial"/>
                <w:sz w:val="24"/>
                <w:szCs w:val="24"/>
                <w:lang w:val="fr-FR"/>
              </w:rPr>
              <w:t xml:space="preserve">Le </w:t>
            </w:r>
            <w:r w:rsidR="003348CF">
              <w:rPr>
                <w:rFonts w:ascii="Arial" w:hAnsi="Arial" w:cs="Arial"/>
                <w:sz w:val="24"/>
                <w:szCs w:val="24"/>
                <w:lang w:val="fr-FR"/>
              </w:rPr>
              <w:t>L</w:t>
            </w:r>
            <w:r w:rsidR="004638E5" w:rsidRPr="00E4267A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  <w:r w:rsidR="003348CF">
              <w:rPr>
                <w:rFonts w:ascii="Arial" w:hAnsi="Arial" w:cs="Arial"/>
                <w:sz w:val="24"/>
                <w:szCs w:val="24"/>
                <w:lang w:val="fr-FR"/>
              </w:rPr>
              <w:t>A</w:t>
            </w:r>
            <w:r w:rsidR="004638E5" w:rsidRPr="00E4267A">
              <w:rPr>
                <w:rFonts w:ascii="Arial" w:hAnsi="Arial" w:cs="Arial"/>
                <w:sz w:val="24"/>
                <w:szCs w:val="24"/>
                <w:lang w:val="fr-FR"/>
              </w:rPr>
              <w:t xml:space="preserve">. </w:t>
            </w:r>
            <w:r w:rsidR="00E07AEF" w:rsidRPr="00E07AEF">
              <w:rPr>
                <w:rFonts w:ascii="Arial" w:hAnsi="Arial" w:cs="Arial"/>
                <w:b/>
                <w:color w:val="C00000"/>
                <w:sz w:val="24"/>
                <w:szCs w:val="24"/>
                <w:lang w:val="fr-FR"/>
              </w:rPr>
              <w:t xml:space="preserve">sera validé </w:t>
            </w:r>
            <w:r w:rsidR="004638E5" w:rsidRPr="00E07AEF">
              <w:rPr>
                <w:rFonts w:ascii="Arial" w:hAnsi="Arial" w:cs="Arial"/>
                <w:b/>
                <w:color w:val="C00000"/>
                <w:sz w:val="24"/>
                <w:szCs w:val="24"/>
                <w:lang w:val="fr-FR"/>
              </w:rPr>
              <w:t>au plus tard</w:t>
            </w:r>
            <w:r w:rsidR="004638E5" w:rsidRPr="00E07AEF">
              <w:rPr>
                <w:rFonts w:ascii="Arial" w:hAnsi="Arial" w:cs="Arial"/>
                <w:color w:val="C00000"/>
                <w:sz w:val="24"/>
                <w:szCs w:val="24"/>
                <w:lang w:val="fr-FR"/>
              </w:rPr>
              <w:t xml:space="preserve"> </w:t>
            </w:r>
            <w:r w:rsidR="004638E5" w:rsidRPr="00E4267A">
              <w:rPr>
                <w:rFonts w:ascii="Arial" w:hAnsi="Arial" w:cs="Arial"/>
                <w:sz w:val="24"/>
                <w:szCs w:val="24"/>
                <w:lang w:val="fr-FR"/>
              </w:rPr>
              <w:t>pour le 15 juin de l’année en cours.</w:t>
            </w:r>
          </w:p>
        </w:tc>
      </w:tr>
      <w:tr w:rsidR="003348CF" w:rsidRPr="00730D83" w14:paraId="1EF0A68B" w14:textId="77777777" w:rsidTr="00E16DAE">
        <w:trPr>
          <w:gridAfter w:val="1"/>
          <w:wAfter w:w="14" w:type="dxa"/>
        </w:trPr>
        <w:tc>
          <w:tcPr>
            <w:tcW w:w="3020" w:type="dxa"/>
            <w:shd w:val="clear" w:color="auto" w:fill="DBDBDB" w:themeFill="accent3" w:themeFillTint="66"/>
          </w:tcPr>
          <w:p w14:paraId="02ED02A7" w14:textId="77777777" w:rsidR="0012636F" w:rsidRPr="00E4267A" w:rsidRDefault="0012636F" w:rsidP="00A65D15">
            <w:pPr>
              <w:rPr>
                <w:rFonts w:ascii="Arial" w:hAnsi="Arial" w:cs="Arial"/>
                <w:sz w:val="24"/>
                <w:szCs w:val="24"/>
              </w:rPr>
            </w:pPr>
            <w:r w:rsidRPr="00E4267A">
              <w:rPr>
                <w:rFonts w:ascii="Arial" w:hAnsi="Arial" w:cs="Arial"/>
                <w:sz w:val="24"/>
                <w:szCs w:val="24"/>
              </w:rPr>
              <w:t>Conditions de modification de programme par l’étudiant avec l’accord des deux Institutions partenaires</w:t>
            </w:r>
          </w:p>
          <w:p w14:paraId="598B6C5A" w14:textId="77777777" w:rsidR="004638E5" w:rsidRPr="00E4267A" w:rsidRDefault="004638E5" w:rsidP="00A65D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C88E91" w14:textId="77777777" w:rsidR="004638E5" w:rsidRDefault="004638E5" w:rsidP="00A65D15">
            <w:pPr>
              <w:rPr>
                <w:rFonts w:ascii="Andalus" w:hAnsi="Andalus" w:cs="Andalus"/>
                <w:sz w:val="24"/>
                <w:szCs w:val="24"/>
              </w:rPr>
            </w:pPr>
          </w:p>
          <w:p w14:paraId="2D12214D" w14:textId="77777777" w:rsidR="007C08D5" w:rsidRDefault="003F514A" w:rsidP="00A65D15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softHyphen/>
            </w:r>
            <w:r>
              <w:rPr>
                <w:rFonts w:ascii="Andalus" w:hAnsi="Andalus" w:cs="Andalus"/>
                <w:sz w:val="24"/>
                <w:szCs w:val="24"/>
              </w:rPr>
              <w:softHyphen/>
            </w:r>
            <w:r>
              <w:rPr>
                <w:rFonts w:ascii="Andalus" w:hAnsi="Andalus" w:cs="Andalus"/>
                <w:sz w:val="24"/>
                <w:szCs w:val="24"/>
              </w:rPr>
              <w:softHyphen/>
            </w:r>
            <w:r>
              <w:rPr>
                <w:rFonts w:ascii="Andalus" w:hAnsi="Andalus" w:cs="Andalus"/>
                <w:sz w:val="24"/>
                <w:szCs w:val="24"/>
              </w:rPr>
              <w:softHyphen/>
            </w:r>
            <w:r>
              <w:rPr>
                <w:rFonts w:ascii="Andalus" w:hAnsi="Andalus" w:cs="Andalus"/>
                <w:sz w:val="24"/>
                <w:szCs w:val="24"/>
              </w:rPr>
              <w:softHyphen/>
            </w:r>
            <w:r>
              <w:rPr>
                <w:rFonts w:ascii="Andalus" w:hAnsi="Andalus" w:cs="Andalus"/>
                <w:sz w:val="24"/>
                <w:szCs w:val="24"/>
              </w:rPr>
              <w:softHyphen/>
            </w:r>
            <w:r>
              <w:rPr>
                <w:rFonts w:ascii="Andalus" w:hAnsi="Andalus" w:cs="Andalus"/>
                <w:sz w:val="24"/>
                <w:szCs w:val="24"/>
              </w:rPr>
              <w:softHyphen/>
            </w:r>
            <w:r>
              <w:rPr>
                <w:rFonts w:ascii="Andalus" w:hAnsi="Andalus" w:cs="Andalus"/>
                <w:sz w:val="24"/>
                <w:szCs w:val="24"/>
              </w:rPr>
              <w:softHyphen/>
            </w:r>
            <w:r>
              <w:rPr>
                <w:rFonts w:ascii="Andalus" w:hAnsi="Andalus" w:cs="Andalus"/>
                <w:sz w:val="24"/>
                <w:szCs w:val="24"/>
              </w:rPr>
              <w:softHyphen/>
            </w:r>
            <w:r>
              <w:rPr>
                <w:rFonts w:ascii="Andalus" w:hAnsi="Andalus" w:cs="Andalus"/>
                <w:sz w:val="24"/>
                <w:szCs w:val="24"/>
              </w:rPr>
              <w:softHyphen/>
            </w:r>
            <w:r>
              <w:rPr>
                <w:rFonts w:ascii="Andalus" w:hAnsi="Andalus" w:cs="Andalus"/>
                <w:sz w:val="24"/>
                <w:szCs w:val="24"/>
              </w:rPr>
              <w:softHyphen/>
            </w:r>
            <w:r>
              <w:rPr>
                <w:rFonts w:ascii="Andalus" w:hAnsi="Andalus" w:cs="Andalus"/>
                <w:sz w:val="24"/>
                <w:szCs w:val="24"/>
              </w:rPr>
              <w:softHyphen/>
            </w:r>
            <w:r>
              <w:rPr>
                <w:rFonts w:ascii="Andalus" w:hAnsi="Andalus" w:cs="Andalus"/>
                <w:sz w:val="24"/>
                <w:szCs w:val="24"/>
              </w:rPr>
              <w:softHyphen/>
            </w:r>
            <w:r>
              <w:rPr>
                <w:rFonts w:ascii="Andalus" w:hAnsi="Andalus" w:cs="Andalus"/>
                <w:sz w:val="24"/>
                <w:szCs w:val="24"/>
              </w:rPr>
              <w:softHyphen/>
            </w:r>
          </w:p>
          <w:p w14:paraId="167EB845" w14:textId="77F602DE" w:rsidR="00E16DAE" w:rsidRDefault="00E16DAE" w:rsidP="007C08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2B944B89" w14:textId="68DD8D32" w:rsidR="007C08D5" w:rsidRPr="00E4267A" w:rsidRDefault="007C08D5" w:rsidP="007C08D5">
            <w:pPr>
              <w:rPr>
                <w:rFonts w:ascii="Arial" w:hAnsi="Arial" w:cs="Arial"/>
                <w:sz w:val="24"/>
                <w:szCs w:val="24"/>
              </w:rPr>
            </w:pPr>
            <w:r w:rsidRPr="00E4267A">
              <w:rPr>
                <w:rFonts w:ascii="Arial" w:hAnsi="Arial" w:cs="Arial"/>
                <w:sz w:val="24"/>
                <w:szCs w:val="24"/>
              </w:rPr>
              <w:t>Préparation linguistique de l’étudiant</w:t>
            </w:r>
          </w:p>
          <w:p w14:paraId="732281F6" w14:textId="77777777" w:rsidR="007C08D5" w:rsidRPr="00E4267A" w:rsidRDefault="007C08D5" w:rsidP="00A65D15">
            <w:pPr>
              <w:rPr>
                <w:rFonts w:ascii="Andalus" w:hAnsi="Andalus" w:cs="Andalus"/>
                <w:sz w:val="24"/>
                <w:szCs w:val="24"/>
              </w:rPr>
            </w:pPr>
          </w:p>
          <w:p w14:paraId="0DE0A73E" w14:textId="77777777" w:rsidR="007C08D5" w:rsidRDefault="007C08D5" w:rsidP="00A65D15">
            <w:pPr>
              <w:rPr>
                <w:rFonts w:ascii="Andalus" w:hAnsi="Andalus" w:cs="Andalus"/>
              </w:rPr>
            </w:pPr>
          </w:p>
          <w:p w14:paraId="7E7CA626" w14:textId="77777777" w:rsidR="007C08D5" w:rsidRDefault="007C08D5" w:rsidP="00A65D15">
            <w:pPr>
              <w:rPr>
                <w:rFonts w:ascii="Andalus" w:hAnsi="Andalus" w:cs="Andalus"/>
              </w:rPr>
            </w:pPr>
          </w:p>
          <w:p w14:paraId="0EFEFB97" w14:textId="77777777" w:rsidR="007C08D5" w:rsidRDefault="007C08D5" w:rsidP="00A65D15">
            <w:pPr>
              <w:rPr>
                <w:rFonts w:ascii="Andalus" w:hAnsi="Andalus" w:cs="Andalus"/>
              </w:rPr>
            </w:pPr>
          </w:p>
          <w:p w14:paraId="67068607" w14:textId="77777777" w:rsidR="007C08D5" w:rsidRDefault="007C08D5" w:rsidP="00A65D15">
            <w:pPr>
              <w:rPr>
                <w:rFonts w:ascii="Andalus" w:hAnsi="Andalus" w:cs="Andalus"/>
              </w:rPr>
            </w:pPr>
          </w:p>
          <w:p w14:paraId="0050A0E6" w14:textId="77777777" w:rsidR="007C08D5" w:rsidRDefault="007C08D5" w:rsidP="00A65D15">
            <w:pPr>
              <w:rPr>
                <w:rFonts w:ascii="Andalus" w:hAnsi="Andalus" w:cs="Andalus"/>
              </w:rPr>
            </w:pPr>
          </w:p>
          <w:p w14:paraId="30394FAD" w14:textId="77777777" w:rsidR="007C08D5" w:rsidRPr="00730D83" w:rsidRDefault="007C08D5" w:rsidP="00A65D15">
            <w:pPr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6189" w:type="dxa"/>
            <w:gridSpan w:val="2"/>
          </w:tcPr>
          <w:p w14:paraId="21B27B90" w14:textId="6C86F9B0" w:rsidR="007C08D5" w:rsidRDefault="0012636F" w:rsidP="007C08D5">
            <w:pPr>
              <w:rPr>
                <w:rFonts w:ascii="Arial" w:hAnsi="Arial" w:cs="Arial"/>
                <w:sz w:val="24"/>
                <w:szCs w:val="24"/>
              </w:rPr>
            </w:pPr>
            <w:r w:rsidRPr="00E4267A">
              <w:rPr>
                <w:rFonts w:ascii="Arial" w:hAnsi="Arial" w:cs="Arial"/>
                <w:sz w:val="24"/>
                <w:szCs w:val="24"/>
              </w:rPr>
              <w:lastRenderedPageBreak/>
              <w:t>En cas de conflit</w:t>
            </w:r>
            <w:r w:rsidR="003348CF">
              <w:rPr>
                <w:rFonts w:ascii="Arial" w:hAnsi="Arial" w:cs="Arial"/>
                <w:sz w:val="24"/>
                <w:szCs w:val="24"/>
              </w:rPr>
              <w:t>s</w:t>
            </w:r>
            <w:r w:rsidRPr="00E4267A">
              <w:rPr>
                <w:rFonts w:ascii="Arial" w:hAnsi="Arial" w:cs="Arial"/>
                <w:sz w:val="24"/>
                <w:szCs w:val="24"/>
              </w:rPr>
              <w:t xml:space="preserve"> horaire</w:t>
            </w:r>
            <w:r w:rsidR="003348CF">
              <w:rPr>
                <w:rFonts w:ascii="Arial" w:hAnsi="Arial" w:cs="Arial"/>
                <w:sz w:val="24"/>
                <w:szCs w:val="24"/>
              </w:rPr>
              <w:t>s</w:t>
            </w:r>
            <w:r w:rsidRPr="00E4267A">
              <w:rPr>
                <w:rFonts w:ascii="Arial" w:hAnsi="Arial" w:cs="Arial"/>
                <w:sz w:val="24"/>
                <w:szCs w:val="24"/>
              </w:rPr>
              <w:t xml:space="preserve"> constaté</w:t>
            </w:r>
            <w:r w:rsidR="003348CF">
              <w:rPr>
                <w:rFonts w:ascii="Arial" w:hAnsi="Arial" w:cs="Arial"/>
                <w:sz w:val="24"/>
                <w:szCs w:val="24"/>
              </w:rPr>
              <w:t>s</w:t>
            </w:r>
            <w:r w:rsidRPr="00E4267A">
              <w:rPr>
                <w:rFonts w:ascii="Arial" w:hAnsi="Arial" w:cs="Arial"/>
                <w:sz w:val="24"/>
                <w:szCs w:val="24"/>
              </w:rPr>
              <w:t xml:space="preserve"> sur place ou d’inadéquation d’un</w:t>
            </w:r>
            <w:r w:rsidR="003348CF">
              <w:rPr>
                <w:rFonts w:ascii="Arial" w:hAnsi="Arial" w:cs="Arial"/>
                <w:sz w:val="24"/>
                <w:szCs w:val="24"/>
              </w:rPr>
              <w:t xml:space="preserve"> choix de cours</w:t>
            </w:r>
            <w:r w:rsidRPr="00E4267A">
              <w:rPr>
                <w:rFonts w:ascii="Arial" w:hAnsi="Arial" w:cs="Arial"/>
                <w:sz w:val="24"/>
                <w:szCs w:val="24"/>
              </w:rPr>
              <w:t xml:space="preserve"> par rapport à la formation de </w:t>
            </w:r>
            <w:r w:rsidR="003348CF">
              <w:rPr>
                <w:rFonts w:ascii="Arial" w:hAnsi="Arial" w:cs="Arial"/>
                <w:sz w:val="24"/>
                <w:szCs w:val="24"/>
              </w:rPr>
              <w:t xml:space="preserve">base de </w:t>
            </w:r>
            <w:r w:rsidRPr="00E4267A">
              <w:rPr>
                <w:rFonts w:ascii="Arial" w:hAnsi="Arial" w:cs="Arial"/>
                <w:sz w:val="24"/>
                <w:szCs w:val="24"/>
              </w:rPr>
              <w:t>l’étudiant, et su</w:t>
            </w:r>
            <w:r w:rsidR="003348CF">
              <w:rPr>
                <w:rFonts w:ascii="Arial" w:hAnsi="Arial" w:cs="Arial"/>
                <w:sz w:val="24"/>
                <w:szCs w:val="24"/>
              </w:rPr>
              <w:t xml:space="preserve">ivant </w:t>
            </w:r>
            <w:r w:rsidRPr="00E4267A">
              <w:rPr>
                <w:rFonts w:ascii="Arial" w:hAnsi="Arial" w:cs="Arial"/>
                <w:sz w:val="24"/>
                <w:szCs w:val="24"/>
              </w:rPr>
              <w:t>un</w:t>
            </w:r>
            <w:r w:rsidR="003348CF">
              <w:rPr>
                <w:rFonts w:ascii="Arial" w:hAnsi="Arial" w:cs="Arial"/>
                <w:sz w:val="24"/>
                <w:szCs w:val="24"/>
              </w:rPr>
              <w:t xml:space="preserve">e argumentation </w:t>
            </w:r>
            <w:r w:rsidRPr="00E4267A">
              <w:rPr>
                <w:rFonts w:ascii="Arial" w:hAnsi="Arial" w:cs="Arial"/>
                <w:sz w:val="24"/>
                <w:szCs w:val="24"/>
              </w:rPr>
              <w:t>précis</w:t>
            </w:r>
            <w:r w:rsidR="003348CF">
              <w:rPr>
                <w:rFonts w:ascii="Arial" w:hAnsi="Arial" w:cs="Arial"/>
                <w:sz w:val="24"/>
                <w:szCs w:val="24"/>
              </w:rPr>
              <w:t xml:space="preserve">e, l’étudiant peut demander des changements dans son programme de cours dans l’institution d’accueil. La demande sera envoyée par </w:t>
            </w:r>
            <w:r w:rsidR="003348CF">
              <w:rPr>
                <w:rFonts w:ascii="Arial" w:hAnsi="Arial" w:cs="Arial"/>
                <w:sz w:val="24"/>
                <w:szCs w:val="24"/>
              </w:rPr>
              <w:lastRenderedPageBreak/>
              <w:t>courriel à la coordinatrice qui acceptera (ou non) le(s) changement(s) demandé(s). L</w:t>
            </w:r>
            <w:r w:rsidRPr="00E4267A">
              <w:rPr>
                <w:rFonts w:ascii="Arial" w:hAnsi="Arial" w:cs="Arial"/>
                <w:sz w:val="24"/>
                <w:szCs w:val="24"/>
              </w:rPr>
              <w:t>es modifications pour les cours du 1</w:t>
            </w:r>
            <w:r w:rsidRPr="00E4267A"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  <w:r w:rsidRPr="00E4267A">
              <w:rPr>
                <w:rFonts w:ascii="Arial" w:hAnsi="Arial" w:cs="Arial"/>
                <w:sz w:val="24"/>
                <w:szCs w:val="24"/>
              </w:rPr>
              <w:t xml:space="preserve"> semestre et/ou annuels sont admises jusqu’au 15 octobre ; celles du second semestre doive</w:t>
            </w:r>
            <w:r w:rsidR="007C08D5" w:rsidRPr="00E4267A">
              <w:rPr>
                <w:rFonts w:ascii="Arial" w:hAnsi="Arial" w:cs="Arial"/>
                <w:sz w:val="24"/>
                <w:szCs w:val="24"/>
              </w:rPr>
              <w:t>nt être notifiées avant le 15/2.</w:t>
            </w:r>
          </w:p>
          <w:p w14:paraId="10254680" w14:textId="414C71E3" w:rsidR="007C08D5" w:rsidRPr="00E4267A" w:rsidRDefault="007C08D5" w:rsidP="007C08D5">
            <w:pPr>
              <w:rPr>
                <w:rFonts w:ascii="Arial" w:hAnsi="Arial" w:cs="Arial"/>
                <w:sz w:val="24"/>
                <w:szCs w:val="24"/>
              </w:rPr>
            </w:pPr>
            <w:r w:rsidRPr="00E4267A">
              <w:rPr>
                <w:rFonts w:ascii="Arial" w:hAnsi="Arial" w:cs="Arial"/>
                <w:sz w:val="24"/>
                <w:szCs w:val="24"/>
              </w:rPr>
              <w:t xml:space="preserve">Un test de langue en ligne (OLS, Online </w:t>
            </w:r>
            <w:proofErr w:type="spellStart"/>
            <w:r w:rsidRPr="00E4267A">
              <w:rPr>
                <w:rFonts w:ascii="Arial" w:hAnsi="Arial" w:cs="Arial"/>
                <w:sz w:val="24"/>
                <w:szCs w:val="24"/>
              </w:rPr>
              <w:t>Linguistic</w:t>
            </w:r>
            <w:proofErr w:type="spellEnd"/>
            <w:r w:rsidRPr="00E4267A">
              <w:rPr>
                <w:rFonts w:ascii="Arial" w:hAnsi="Arial" w:cs="Arial"/>
                <w:sz w:val="24"/>
                <w:szCs w:val="24"/>
              </w:rPr>
              <w:t xml:space="preserve"> Support) doit obligatoirement être passé fin juin au plus tard pour la langue d’enseignement de l’</w:t>
            </w:r>
            <w:r w:rsidR="002E3310">
              <w:rPr>
                <w:rFonts w:ascii="Arial" w:hAnsi="Arial" w:cs="Arial"/>
                <w:sz w:val="24"/>
                <w:szCs w:val="24"/>
              </w:rPr>
              <w:t>U</w:t>
            </w:r>
            <w:r w:rsidRPr="00E4267A">
              <w:rPr>
                <w:rFonts w:ascii="Arial" w:hAnsi="Arial" w:cs="Arial"/>
                <w:sz w:val="24"/>
                <w:szCs w:val="24"/>
              </w:rPr>
              <w:t>niversité choisie. Le BRI octroie ensuite une licence OLS qui permet à l’étudiant de poursuivre son apprentissage. Le test en ligne sera enfin présenté au retour de mobilité.</w:t>
            </w:r>
          </w:p>
          <w:p w14:paraId="010E5C1E" w14:textId="77777777" w:rsidR="004638E5" w:rsidRPr="00730D83" w:rsidRDefault="007C08D5" w:rsidP="007C08D5">
            <w:pPr>
              <w:rPr>
                <w:rFonts w:ascii="Andalus" w:hAnsi="Andalus" w:cs="Andalus"/>
                <w:sz w:val="24"/>
                <w:szCs w:val="24"/>
              </w:rPr>
            </w:pPr>
            <w:r w:rsidRPr="00E4267A">
              <w:rPr>
                <w:rFonts w:ascii="Arial" w:hAnsi="Arial" w:cs="Arial"/>
                <w:sz w:val="24"/>
                <w:szCs w:val="24"/>
              </w:rPr>
              <w:t xml:space="preserve">Des professeurs </w:t>
            </w:r>
            <w:r w:rsidR="00B30AAC" w:rsidRPr="00E4267A">
              <w:rPr>
                <w:rFonts w:ascii="Arial" w:hAnsi="Arial" w:cs="Arial"/>
                <w:sz w:val="24"/>
                <w:szCs w:val="24"/>
              </w:rPr>
              <w:t xml:space="preserve">de langues étrangères de la </w:t>
            </w:r>
            <w:proofErr w:type="spellStart"/>
            <w:r w:rsidR="00B30AAC" w:rsidRPr="00E4267A">
              <w:rPr>
                <w:rFonts w:ascii="Arial" w:hAnsi="Arial" w:cs="Arial"/>
                <w:sz w:val="24"/>
                <w:szCs w:val="24"/>
              </w:rPr>
              <w:t>HECh</w:t>
            </w:r>
            <w:proofErr w:type="spellEnd"/>
            <w:r w:rsidRPr="00E4267A">
              <w:rPr>
                <w:rFonts w:ascii="Arial" w:hAnsi="Arial" w:cs="Arial"/>
                <w:sz w:val="24"/>
                <w:szCs w:val="24"/>
              </w:rPr>
              <w:t xml:space="preserve"> sont amenés à notifier le niveau de connaissance d’une voire de plusieurs langues de l’étudiant en se référant au CER (cadre européen de référence) – condition d’admission chez plusieurs partenaires </w:t>
            </w:r>
            <w:r w:rsidRPr="002E3310">
              <w:rPr>
                <w:rFonts w:ascii="Arial" w:hAnsi="Arial" w:cs="Arial"/>
                <w:sz w:val="24"/>
                <w:szCs w:val="24"/>
                <w:highlight w:val="yellow"/>
              </w:rPr>
              <w:t>(niveaux A2</w:t>
            </w:r>
            <w:r w:rsidR="00B30AAC" w:rsidRPr="002E3310">
              <w:rPr>
                <w:rFonts w:ascii="Arial" w:hAnsi="Arial" w:cs="Arial"/>
                <w:sz w:val="24"/>
                <w:szCs w:val="24"/>
                <w:highlight w:val="yellow"/>
              </w:rPr>
              <w:t>-</w:t>
            </w:r>
            <w:r w:rsidRPr="002E331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B1 souvent requis).</w:t>
            </w:r>
            <w:r w:rsidRPr="00E4267A">
              <w:rPr>
                <w:rFonts w:ascii="Arial" w:hAnsi="Arial" w:cs="Arial"/>
                <w:sz w:val="24"/>
                <w:szCs w:val="24"/>
              </w:rPr>
              <w:t xml:space="preserve"> L’étudiant fait la demande par courriel au BRI du formulaire de niveau de langue suivant le Cadre Européen de Référence.</w:t>
            </w:r>
          </w:p>
        </w:tc>
      </w:tr>
      <w:tr w:rsidR="003348CF" w14:paraId="20326C8D" w14:textId="77777777" w:rsidTr="00E16DAE">
        <w:tc>
          <w:tcPr>
            <w:tcW w:w="3020" w:type="dxa"/>
            <w:shd w:val="clear" w:color="auto" w:fill="DBDBDB" w:themeFill="accent3" w:themeFillTint="66"/>
          </w:tcPr>
          <w:p w14:paraId="1131EC74" w14:textId="77777777" w:rsidR="0012636F" w:rsidRPr="00E4267A" w:rsidRDefault="0012636F" w:rsidP="00A65D15">
            <w:pPr>
              <w:rPr>
                <w:rFonts w:ascii="Arial" w:hAnsi="Arial" w:cs="Arial"/>
                <w:sz w:val="24"/>
                <w:szCs w:val="24"/>
              </w:rPr>
            </w:pPr>
            <w:r w:rsidRPr="00E4267A">
              <w:rPr>
                <w:rFonts w:ascii="Arial" w:hAnsi="Arial" w:cs="Arial"/>
                <w:sz w:val="24"/>
                <w:szCs w:val="24"/>
              </w:rPr>
              <w:lastRenderedPageBreak/>
              <w:t>Délibérations au retour d’une Mobilité</w:t>
            </w:r>
          </w:p>
        </w:tc>
        <w:tc>
          <w:tcPr>
            <w:tcW w:w="236" w:type="dxa"/>
          </w:tcPr>
          <w:p w14:paraId="4348E7D5" w14:textId="77777777" w:rsidR="0012636F" w:rsidRPr="00E4267A" w:rsidRDefault="0012636F" w:rsidP="00A65D15">
            <w:pPr>
              <w:rPr>
                <w:rFonts w:ascii="Arial" w:hAnsi="Arial" w:cs="Arial"/>
                <w:sz w:val="24"/>
                <w:szCs w:val="24"/>
                <w:highlight w:val="darkGray"/>
              </w:rPr>
            </w:pPr>
          </w:p>
        </w:tc>
        <w:tc>
          <w:tcPr>
            <w:tcW w:w="5967" w:type="dxa"/>
            <w:gridSpan w:val="2"/>
          </w:tcPr>
          <w:p w14:paraId="5EF2B5B9" w14:textId="0DF12F64" w:rsidR="0012636F" w:rsidRPr="00E4267A" w:rsidRDefault="0012636F" w:rsidP="00A65D15">
            <w:pPr>
              <w:rPr>
                <w:rFonts w:ascii="Arial" w:hAnsi="Arial" w:cs="Arial"/>
              </w:rPr>
            </w:pPr>
            <w:r w:rsidRPr="00E4267A">
              <w:rPr>
                <w:rFonts w:ascii="Arial" w:hAnsi="Arial" w:cs="Arial"/>
                <w:sz w:val="24"/>
                <w:szCs w:val="24"/>
              </w:rPr>
              <w:t>Compte tenu de la disparité des calendriers académiques au sein des Ins</w:t>
            </w:r>
            <w:r w:rsidR="00AB2E62" w:rsidRPr="00E4267A">
              <w:rPr>
                <w:rFonts w:ascii="Arial" w:hAnsi="Arial" w:cs="Arial"/>
                <w:sz w:val="24"/>
                <w:szCs w:val="24"/>
              </w:rPr>
              <w:t xml:space="preserve">titutions partenaires de la </w:t>
            </w:r>
            <w:proofErr w:type="spellStart"/>
            <w:r w:rsidR="00AB2E62" w:rsidRPr="00E4267A">
              <w:rPr>
                <w:rFonts w:ascii="Arial" w:hAnsi="Arial" w:cs="Arial"/>
                <w:sz w:val="24"/>
                <w:szCs w:val="24"/>
              </w:rPr>
              <w:t>HECh</w:t>
            </w:r>
            <w:proofErr w:type="spellEnd"/>
            <w:r w:rsidRPr="00E4267A">
              <w:rPr>
                <w:rFonts w:ascii="Arial" w:hAnsi="Arial" w:cs="Arial"/>
                <w:sz w:val="24"/>
                <w:szCs w:val="24"/>
              </w:rPr>
              <w:t>, les étudiants en mobilité académique sont délibérés pour le compte de la première session le jour de la délibér</w:t>
            </w:r>
            <w:r w:rsidR="008824B4" w:rsidRPr="00E4267A">
              <w:rPr>
                <w:rFonts w:ascii="Arial" w:hAnsi="Arial" w:cs="Arial"/>
                <w:sz w:val="24"/>
                <w:szCs w:val="24"/>
              </w:rPr>
              <w:t xml:space="preserve">ation des secondes sessions </w:t>
            </w:r>
            <w:proofErr w:type="spellStart"/>
            <w:r w:rsidR="008824B4" w:rsidRPr="00E4267A">
              <w:rPr>
                <w:rFonts w:ascii="Arial" w:hAnsi="Arial" w:cs="Arial"/>
                <w:sz w:val="24"/>
                <w:szCs w:val="24"/>
              </w:rPr>
              <w:t>HECh</w:t>
            </w:r>
            <w:proofErr w:type="spellEnd"/>
            <w:r w:rsidRPr="00E4267A">
              <w:rPr>
                <w:rFonts w:ascii="Arial" w:hAnsi="Arial" w:cs="Arial"/>
                <w:sz w:val="24"/>
                <w:szCs w:val="24"/>
              </w:rPr>
              <w:t xml:space="preserve"> sur base du relevé de notes (« </w:t>
            </w:r>
            <w:proofErr w:type="spellStart"/>
            <w:r w:rsidRPr="00E4267A">
              <w:rPr>
                <w:rFonts w:ascii="Arial" w:hAnsi="Arial" w:cs="Arial"/>
                <w:sz w:val="24"/>
                <w:szCs w:val="24"/>
              </w:rPr>
              <w:t>Transcript</w:t>
            </w:r>
            <w:proofErr w:type="spellEnd"/>
            <w:r w:rsidRPr="00E4267A">
              <w:rPr>
                <w:rFonts w:ascii="Arial" w:hAnsi="Arial" w:cs="Arial"/>
                <w:sz w:val="24"/>
                <w:szCs w:val="24"/>
              </w:rPr>
              <w:t xml:space="preserve"> of records ») envoyé par l’institution d’accueil ; les notes obtenues font l’objet d’une conversion selon le système ECTS (disponible</w:t>
            </w:r>
            <w:r w:rsidR="00AB2E62" w:rsidRPr="00E4267A">
              <w:rPr>
                <w:rFonts w:ascii="Arial" w:hAnsi="Arial" w:cs="Arial"/>
                <w:sz w:val="24"/>
                <w:szCs w:val="24"/>
              </w:rPr>
              <w:t xml:space="preserve"> sur le site internet de la </w:t>
            </w:r>
            <w:proofErr w:type="spellStart"/>
            <w:r w:rsidR="00AB2E62" w:rsidRPr="00E4267A">
              <w:rPr>
                <w:rFonts w:ascii="Arial" w:hAnsi="Arial" w:cs="Arial"/>
                <w:sz w:val="24"/>
                <w:szCs w:val="24"/>
              </w:rPr>
              <w:t>HECh</w:t>
            </w:r>
            <w:proofErr w:type="spellEnd"/>
            <w:r w:rsidR="00AB2E62" w:rsidRPr="00E4267A">
              <w:rPr>
                <w:rFonts w:ascii="Arial" w:hAnsi="Arial" w:cs="Arial"/>
                <w:sz w:val="24"/>
                <w:szCs w:val="24"/>
              </w:rPr>
              <w:t>, onglet « Relations I</w:t>
            </w:r>
            <w:r w:rsidRPr="00E4267A">
              <w:rPr>
                <w:rFonts w:ascii="Arial" w:hAnsi="Arial" w:cs="Arial"/>
                <w:sz w:val="24"/>
                <w:szCs w:val="24"/>
              </w:rPr>
              <w:t>nternationales »).</w:t>
            </w:r>
          </w:p>
        </w:tc>
      </w:tr>
      <w:tr w:rsidR="003348CF" w:rsidRPr="00730D83" w14:paraId="5530B223" w14:textId="77777777" w:rsidTr="00E16DAE">
        <w:trPr>
          <w:gridAfter w:val="1"/>
          <w:wAfter w:w="14" w:type="dxa"/>
        </w:trPr>
        <w:tc>
          <w:tcPr>
            <w:tcW w:w="3020" w:type="dxa"/>
            <w:shd w:val="clear" w:color="auto" w:fill="DBDBDB" w:themeFill="accent3" w:themeFillTint="66"/>
          </w:tcPr>
          <w:p w14:paraId="497B17BE" w14:textId="77777777" w:rsidR="0012636F" w:rsidRPr="00E4267A" w:rsidRDefault="0012636F" w:rsidP="00A65D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9" w:type="dxa"/>
            <w:gridSpan w:val="2"/>
          </w:tcPr>
          <w:p w14:paraId="124AA88C" w14:textId="77777777" w:rsidR="00584DEC" w:rsidRPr="00E4267A" w:rsidRDefault="00584DEC" w:rsidP="00A026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8CF" w14:paraId="64C5D8D7" w14:textId="77777777" w:rsidTr="00E16DAE">
        <w:tc>
          <w:tcPr>
            <w:tcW w:w="3020" w:type="dxa"/>
            <w:shd w:val="clear" w:color="auto" w:fill="DBDBDB" w:themeFill="accent3" w:themeFillTint="66"/>
          </w:tcPr>
          <w:p w14:paraId="482EDA28" w14:textId="77777777" w:rsidR="0012636F" w:rsidRPr="00E4267A" w:rsidRDefault="0012636F" w:rsidP="00A65D15">
            <w:pPr>
              <w:rPr>
                <w:rFonts w:ascii="Arial" w:hAnsi="Arial" w:cs="Arial"/>
                <w:sz w:val="24"/>
                <w:szCs w:val="24"/>
              </w:rPr>
            </w:pPr>
            <w:r w:rsidRPr="00E4267A">
              <w:rPr>
                <w:rFonts w:ascii="Arial" w:hAnsi="Arial" w:cs="Arial"/>
                <w:sz w:val="24"/>
                <w:szCs w:val="24"/>
              </w:rPr>
              <w:t>En cas d’échec(s) en retour de mobilité</w:t>
            </w:r>
          </w:p>
        </w:tc>
        <w:tc>
          <w:tcPr>
            <w:tcW w:w="236" w:type="dxa"/>
          </w:tcPr>
          <w:p w14:paraId="48740A85" w14:textId="77777777" w:rsidR="0012636F" w:rsidRPr="00730D83" w:rsidRDefault="0012636F" w:rsidP="00A65D15">
            <w:pPr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5967" w:type="dxa"/>
            <w:gridSpan w:val="2"/>
          </w:tcPr>
          <w:p w14:paraId="5906A83E" w14:textId="0A0131FA" w:rsidR="0012636F" w:rsidRPr="00E4267A" w:rsidRDefault="0012636F" w:rsidP="00A65D15">
            <w:pPr>
              <w:rPr>
                <w:rFonts w:ascii="Arial" w:hAnsi="Arial" w:cs="Arial"/>
                <w:sz w:val="24"/>
                <w:szCs w:val="24"/>
              </w:rPr>
            </w:pPr>
            <w:r w:rsidRPr="00E4267A">
              <w:rPr>
                <w:rFonts w:ascii="Arial" w:hAnsi="Arial" w:cs="Arial"/>
                <w:sz w:val="24"/>
                <w:szCs w:val="24"/>
              </w:rPr>
              <w:t xml:space="preserve">Les échecs essuyés au terme de la </w:t>
            </w:r>
            <w:r w:rsidRPr="00E4267A">
              <w:rPr>
                <w:rFonts w:ascii="Arial" w:hAnsi="Arial" w:cs="Arial"/>
                <w:b/>
                <w:sz w:val="24"/>
                <w:szCs w:val="24"/>
              </w:rPr>
              <w:t>seconde</w:t>
            </w:r>
            <w:r w:rsidRPr="00E4267A">
              <w:rPr>
                <w:rFonts w:ascii="Arial" w:hAnsi="Arial" w:cs="Arial"/>
                <w:sz w:val="24"/>
                <w:szCs w:val="24"/>
              </w:rPr>
              <w:t xml:space="preserve"> session d’examens passée dans l’Université d’accueil doivent être représentés</w:t>
            </w:r>
            <w:r w:rsidR="00290191" w:rsidRPr="00E4267A">
              <w:rPr>
                <w:rFonts w:ascii="Arial" w:hAnsi="Arial" w:cs="Arial"/>
                <w:sz w:val="24"/>
                <w:szCs w:val="24"/>
              </w:rPr>
              <w:t xml:space="preserve"> au sein de la </w:t>
            </w:r>
            <w:proofErr w:type="spellStart"/>
            <w:r w:rsidR="00290191" w:rsidRPr="00E4267A">
              <w:rPr>
                <w:rFonts w:ascii="Arial" w:hAnsi="Arial" w:cs="Arial"/>
                <w:sz w:val="24"/>
                <w:szCs w:val="24"/>
              </w:rPr>
              <w:t>HECh</w:t>
            </w:r>
            <w:proofErr w:type="spellEnd"/>
            <w:r w:rsidRPr="00E4267A">
              <w:rPr>
                <w:rFonts w:ascii="Arial" w:hAnsi="Arial" w:cs="Arial"/>
                <w:sz w:val="24"/>
                <w:szCs w:val="24"/>
              </w:rPr>
              <w:t> :</w:t>
            </w:r>
            <w:r w:rsidR="002E33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013B" w:rsidRPr="00E4267A">
              <w:rPr>
                <w:rFonts w:ascii="Arial" w:hAnsi="Arial" w:cs="Arial"/>
                <w:sz w:val="24"/>
                <w:szCs w:val="24"/>
              </w:rPr>
              <w:t>cela, s</w:t>
            </w:r>
            <w:r w:rsidRPr="00E4267A">
              <w:rPr>
                <w:rFonts w:ascii="Arial" w:hAnsi="Arial" w:cs="Arial"/>
                <w:sz w:val="24"/>
                <w:szCs w:val="24"/>
              </w:rPr>
              <w:t>ous la forme des épreuves</w:t>
            </w:r>
            <w:r w:rsidR="00055359" w:rsidRPr="00E4267A">
              <w:rPr>
                <w:rFonts w:ascii="Arial" w:hAnsi="Arial" w:cs="Arial"/>
                <w:sz w:val="24"/>
                <w:szCs w:val="24"/>
              </w:rPr>
              <w:t xml:space="preserve"> prévues</w:t>
            </w:r>
            <w:r w:rsidRPr="00E4267A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12013B" w:rsidRPr="00E4267A">
              <w:rPr>
                <w:rFonts w:ascii="Arial" w:hAnsi="Arial" w:cs="Arial"/>
                <w:sz w:val="24"/>
                <w:szCs w:val="24"/>
              </w:rPr>
              <w:t>ans l</w:t>
            </w:r>
            <w:r w:rsidRPr="00E4267A">
              <w:rPr>
                <w:rFonts w:ascii="Arial" w:hAnsi="Arial" w:cs="Arial"/>
                <w:sz w:val="24"/>
                <w:szCs w:val="24"/>
              </w:rPr>
              <w:t xml:space="preserve">es UE les plus apparentées </w:t>
            </w:r>
            <w:r w:rsidR="00055359" w:rsidRPr="00E4267A">
              <w:rPr>
                <w:rFonts w:ascii="Arial" w:hAnsi="Arial" w:cs="Arial"/>
                <w:sz w:val="24"/>
                <w:szCs w:val="24"/>
              </w:rPr>
              <w:t>aux échecs essuyés en mobilité</w:t>
            </w:r>
            <w:r w:rsidRPr="00E4267A">
              <w:rPr>
                <w:rFonts w:ascii="Arial" w:hAnsi="Arial" w:cs="Arial"/>
                <w:sz w:val="24"/>
                <w:szCs w:val="24"/>
              </w:rPr>
              <w:t>, sous réserve d’approbation du programme par les membres de la CAVP.</w:t>
            </w:r>
          </w:p>
          <w:p w14:paraId="6F7147DC" w14:textId="77777777" w:rsidR="0012636F" w:rsidRPr="005C54FF" w:rsidRDefault="0012636F" w:rsidP="00A65D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54FF">
              <w:rPr>
                <w:rFonts w:ascii="Arial" w:hAnsi="Arial" w:cs="Arial"/>
                <w:b/>
                <w:sz w:val="24"/>
                <w:szCs w:val="24"/>
              </w:rPr>
              <w:lastRenderedPageBreak/>
              <w:t>Chaque situation fera l’objet d’</w:t>
            </w:r>
            <w:r w:rsidR="00214AE4">
              <w:rPr>
                <w:rFonts w:ascii="Arial" w:hAnsi="Arial" w:cs="Arial"/>
                <w:b/>
                <w:sz w:val="24"/>
                <w:szCs w:val="24"/>
              </w:rPr>
              <w:t>un programme spécifique proposé</w:t>
            </w:r>
            <w:r w:rsidRPr="005C54FF">
              <w:rPr>
                <w:rFonts w:ascii="Arial" w:hAnsi="Arial" w:cs="Arial"/>
                <w:b/>
                <w:sz w:val="24"/>
                <w:szCs w:val="24"/>
              </w:rPr>
              <w:t xml:space="preserve"> à la CAVP et analysé par celle-ci.</w:t>
            </w:r>
          </w:p>
          <w:p w14:paraId="67DEADFE" w14:textId="77777777" w:rsidR="0012636F" w:rsidRDefault="00A02636" w:rsidP="00A02636">
            <w:r w:rsidRPr="005C54FF">
              <w:rPr>
                <w:rFonts w:ascii="Arial" w:hAnsi="Arial" w:cs="Arial"/>
                <w:b/>
                <w:sz w:val="24"/>
                <w:szCs w:val="24"/>
              </w:rPr>
              <w:t>Dans ce cas</w:t>
            </w:r>
            <w:r w:rsidR="0012636F" w:rsidRPr="005C54FF">
              <w:rPr>
                <w:rFonts w:ascii="Arial" w:hAnsi="Arial" w:cs="Arial"/>
                <w:b/>
                <w:sz w:val="24"/>
                <w:szCs w:val="24"/>
              </w:rPr>
              <w:t>, un allongement du</w:t>
            </w:r>
            <w:r w:rsidRPr="005C54FF">
              <w:rPr>
                <w:rFonts w:ascii="Arial" w:hAnsi="Arial" w:cs="Arial"/>
                <w:b/>
                <w:sz w:val="24"/>
                <w:szCs w:val="24"/>
              </w:rPr>
              <w:t xml:space="preserve"> parcours est possible</w:t>
            </w:r>
            <w:r w:rsidR="0012636F" w:rsidRPr="005C54FF">
              <w:rPr>
                <w:rFonts w:ascii="Arial" w:hAnsi="Arial" w:cs="Arial"/>
                <w:b/>
                <w:sz w:val="24"/>
                <w:szCs w:val="24"/>
              </w:rPr>
              <w:t>; l’étudiant en porte</w:t>
            </w:r>
            <w:r w:rsidRPr="005C54FF">
              <w:rPr>
                <w:rFonts w:ascii="Arial" w:hAnsi="Arial" w:cs="Arial"/>
                <w:b/>
                <w:sz w:val="24"/>
                <w:szCs w:val="24"/>
              </w:rPr>
              <w:t>ra</w:t>
            </w:r>
            <w:r w:rsidR="0012636F" w:rsidRPr="005C54FF">
              <w:rPr>
                <w:rFonts w:ascii="Arial" w:hAnsi="Arial" w:cs="Arial"/>
                <w:b/>
                <w:sz w:val="24"/>
                <w:szCs w:val="24"/>
              </w:rPr>
              <w:t xml:space="preserve"> seul la responsabilité.</w:t>
            </w:r>
          </w:p>
        </w:tc>
      </w:tr>
    </w:tbl>
    <w:p w14:paraId="151C9BB5" w14:textId="77777777" w:rsidR="0012636F" w:rsidRDefault="0012636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0"/>
        <w:gridCol w:w="6482"/>
      </w:tblGrid>
      <w:tr w:rsidR="0012636F" w:rsidRPr="00730D83" w14:paraId="6657AC83" w14:textId="77777777" w:rsidTr="00A65D15">
        <w:tc>
          <w:tcPr>
            <w:tcW w:w="0" w:type="auto"/>
            <w:shd w:val="clear" w:color="auto" w:fill="DBDBDB" w:themeFill="accent3" w:themeFillTint="66"/>
          </w:tcPr>
          <w:p w14:paraId="058E1BF1" w14:textId="77777777" w:rsidR="0012636F" w:rsidRPr="00E4267A" w:rsidRDefault="0012636F" w:rsidP="00A65D15">
            <w:pPr>
              <w:rPr>
                <w:rFonts w:ascii="Arial" w:hAnsi="Arial" w:cs="Arial"/>
                <w:sz w:val="24"/>
                <w:szCs w:val="24"/>
              </w:rPr>
            </w:pPr>
            <w:r w:rsidRPr="00E4267A">
              <w:rPr>
                <w:rFonts w:ascii="Arial" w:hAnsi="Arial" w:cs="Arial"/>
                <w:sz w:val="24"/>
                <w:szCs w:val="24"/>
              </w:rPr>
              <w:t>Les possibilités de bourse à la HECH - étudiant</w:t>
            </w:r>
          </w:p>
        </w:tc>
        <w:tc>
          <w:tcPr>
            <w:tcW w:w="0" w:type="auto"/>
          </w:tcPr>
          <w:p w14:paraId="37D28DF8" w14:textId="1A42F0D3" w:rsidR="00053E62" w:rsidRDefault="0012636F" w:rsidP="00A65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267A">
              <w:rPr>
                <w:rFonts w:ascii="Arial" w:hAnsi="Arial" w:cs="Arial"/>
                <w:b/>
                <w:sz w:val="24"/>
                <w:szCs w:val="24"/>
                <w:lang w:val="en-US"/>
              </w:rPr>
              <w:t>SMS</w:t>
            </w:r>
            <w:r w:rsidRPr="00E4267A">
              <w:rPr>
                <w:rFonts w:ascii="Arial" w:hAnsi="Arial" w:cs="Arial"/>
                <w:sz w:val="24"/>
                <w:szCs w:val="24"/>
                <w:lang w:val="en-US"/>
              </w:rPr>
              <w:t xml:space="preserve"> (student mobility for study)</w:t>
            </w:r>
            <w:r w:rsidR="002E3310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E4267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267A"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 w:rsidRPr="00E4267A">
              <w:rPr>
                <w:rFonts w:ascii="Arial" w:hAnsi="Arial" w:cs="Arial"/>
                <w:sz w:val="24"/>
                <w:szCs w:val="24"/>
                <w:lang w:val="en-US"/>
              </w:rPr>
              <w:t xml:space="preserve"> Europe.</w:t>
            </w:r>
          </w:p>
          <w:p w14:paraId="239D3D62" w14:textId="217ED876" w:rsidR="0012636F" w:rsidRPr="005C54FF" w:rsidRDefault="0012636F" w:rsidP="00A65D15">
            <w:pPr>
              <w:rPr>
                <w:rFonts w:ascii="Arial" w:hAnsi="Arial" w:cs="Arial"/>
                <w:sz w:val="24"/>
                <w:szCs w:val="24"/>
              </w:rPr>
            </w:pPr>
            <w:r w:rsidRPr="00E4267A">
              <w:rPr>
                <w:rFonts w:ascii="Arial" w:hAnsi="Arial" w:cs="Arial"/>
                <w:sz w:val="24"/>
                <w:szCs w:val="24"/>
              </w:rPr>
              <w:t>Avoir réuss</w:t>
            </w:r>
            <w:r w:rsidR="00214AE4">
              <w:rPr>
                <w:rFonts w:ascii="Arial" w:hAnsi="Arial" w:cs="Arial"/>
                <w:sz w:val="24"/>
                <w:szCs w:val="24"/>
              </w:rPr>
              <w:t>i 60 E</w:t>
            </w:r>
            <w:r w:rsidR="002E3310">
              <w:rPr>
                <w:rFonts w:ascii="Arial" w:hAnsi="Arial" w:cs="Arial"/>
                <w:sz w:val="24"/>
                <w:szCs w:val="24"/>
              </w:rPr>
              <w:t>CTS</w:t>
            </w:r>
            <w:r w:rsidR="00214AE4">
              <w:rPr>
                <w:rFonts w:ascii="Arial" w:hAnsi="Arial" w:cs="Arial"/>
                <w:sz w:val="24"/>
                <w:szCs w:val="24"/>
              </w:rPr>
              <w:t xml:space="preserve"> et séjourner de </w:t>
            </w:r>
            <w:r w:rsidR="002E3310">
              <w:rPr>
                <w:rFonts w:ascii="Arial" w:hAnsi="Arial" w:cs="Arial"/>
                <w:sz w:val="24"/>
                <w:szCs w:val="24"/>
              </w:rPr>
              <w:t xml:space="preserve">2 à 12 </w:t>
            </w:r>
            <w:r w:rsidRPr="00E4267A">
              <w:rPr>
                <w:rFonts w:ascii="Arial" w:hAnsi="Arial" w:cs="Arial"/>
                <w:sz w:val="24"/>
                <w:szCs w:val="24"/>
              </w:rPr>
              <w:t>mois à l’étranger.</w:t>
            </w:r>
          </w:p>
          <w:p w14:paraId="6248ADB8" w14:textId="77777777" w:rsidR="0012636F" w:rsidRPr="00E4267A" w:rsidRDefault="0012636F" w:rsidP="00A65D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267A">
              <w:rPr>
                <w:rFonts w:ascii="Arial" w:hAnsi="Arial" w:cs="Arial"/>
                <w:b/>
                <w:sz w:val="24"/>
                <w:szCs w:val="24"/>
                <w:lang w:val="en-US"/>
              </w:rPr>
              <w:t>SMP</w:t>
            </w:r>
            <w:r w:rsidRPr="00E4267A">
              <w:rPr>
                <w:rFonts w:ascii="Arial" w:hAnsi="Arial" w:cs="Arial"/>
                <w:sz w:val="24"/>
                <w:szCs w:val="24"/>
                <w:lang w:val="en-US"/>
              </w:rPr>
              <w:t xml:space="preserve"> (student mobility for placement), stage </w:t>
            </w:r>
            <w:proofErr w:type="spellStart"/>
            <w:r w:rsidRPr="00E4267A"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 w:rsidRPr="00E4267A">
              <w:rPr>
                <w:rFonts w:ascii="Arial" w:hAnsi="Arial" w:cs="Arial"/>
                <w:sz w:val="24"/>
                <w:szCs w:val="24"/>
                <w:lang w:val="en-US"/>
              </w:rPr>
              <w:t xml:space="preserve"> Europe.</w:t>
            </w:r>
          </w:p>
          <w:p w14:paraId="193D52DF" w14:textId="77777777" w:rsidR="0012636F" w:rsidRPr="00E4267A" w:rsidRDefault="0012636F" w:rsidP="00A65D15">
            <w:pPr>
              <w:rPr>
                <w:rFonts w:ascii="Arial" w:hAnsi="Arial" w:cs="Arial"/>
                <w:sz w:val="24"/>
                <w:szCs w:val="24"/>
              </w:rPr>
            </w:pPr>
            <w:r w:rsidRPr="00E4267A">
              <w:rPr>
                <w:rFonts w:ascii="Arial" w:hAnsi="Arial" w:cs="Arial"/>
                <w:sz w:val="24"/>
                <w:szCs w:val="24"/>
              </w:rPr>
              <w:t xml:space="preserve">Stage d’une durée minimale de </w:t>
            </w:r>
            <w:r w:rsidR="00055359" w:rsidRPr="00E4267A">
              <w:rPr>
                <w:rFonts w:ascii="Arial" w:hAnsi="Arial" w:cs="Arial"/>
                <w:sz w:val="24"/>
                <w:szCs w:val="24"/>
              </w:rPr>
              <w:t>9</w:t>
            </w:r>
            <w:r w:rsidRPr="00E4267A">
              <w:rPr>
                <w:rFonts w:ascii="Arial" w:hAnsi="Arial" w:cs="Arial"/>
                <w:sz w:val="24"/>
                <w:szCs w:val="24"/>
              </w:rPr>
              <w:t xml:space="preserve"> semaines et maximale de 12 mois. Le stage doit être réalisé au sein d’une même entreprise.</w:t>
            </w:r>
          </w:p>
          <w:p w14:paraId="60A1057C" w14:textId="77777777" w:rsidR="00055359" w:rsidRPr="00E4267A" w:rsidRDefault="00055359" w:rsidP="00A65D15">
            <w:pPr>
              <w:rPr>
                <w:rFonts w:ascii="Arial" w:hAnsi="Arial" w:cs="Arial"/>
                <w:sz w:val="24"/>
                <w:szCs w:val="24"/>
              </w:rPr>
            </w:pPr>
            <w:r w:rsidRPr="00E4267A">
              <w:rPr>
                <w:rFonts w:ascii="Arial" w:hAnsi="Arial" w:cs="Arial"/>
                <w:sz w:val="24"/>
                <w:szCs w:val="24"/>
              </w:rPr>
              <w:t>Nb : les conventions de stage « Agro-Huy » exige un minimum de 13 semaines de stage.</w:t>
            </w:r>
          </w:p>
          <w:p w14:paraId="1C5C4309" w14:textId="77777777" w:rsidR="0012636F" w:rsidRPr="00E4267A" w:rsidRDefault="0012636F" w:rsidP="00A65D15">
            <w:pPr>
              <w:rPr>
                <w:rFonts w:ascii="Arial" w:hAnsi="Arial" w:cs="Arial"/>
                <w:sz w:val="24"/>
                <w:szCs w:val="24"/>
              </w:rPr>
            </w:pPr>
            <w:r w:rsidRPr="00E4267A">
              <w:rPr>
                <w:rFonts w:ascii="Arial" w:hAnsi="Arial" w:cs="Arial"/>
                <w:b/>
                <w:sz w:val="24"/>
                <w:szCs w:val="24"/>
              </w:rPr>
              <w:t>FAME</w:t>
            </w:r>
            <w:r w:rsidRPr="00E4267A">
              <w:rPr>
                <w:rFonts w:ascii="Arial" w:hAnsi="Arial" w:cs="Arial"/>
                <w:sz w:val="24"/>
                <w:szCs w:val="24"/>
              </w:rPr>
              <w:t xml:space="preserve"> (Fonds d’aide à la mobilité) : pour étudier ou réaliser un stage hors Europe. Durée de 13 semaines minimum et mêmes conditions que pour un SMS ou SMP.</w:t>
            </w:r>
          </w:p>
          <w:p w14:paraId="1A8473B5" w14:textId="77777777" w:rsidR="0012636F" w:rsidRPr="00E4267A" w:rsidRDefault="0012636F" w:rsidP="00A65D15">
            <w:pPr>
              <w:rPr>
                <w:rFonts w:ascii="Arial" w:hAnsi="Arial" w:cs="Arial"/>
                <w:sz w:val="24"/>
                <w:szCs w:val="24"/>
              </w:rPr>
            </w:pPr>
            <w:r w:rsidRPr="00E4267A">
              <w:rPr>
                <w:rFonts w:ascii="Arial" w:hAnsi="Arial" w:cs="Arial"/>
                <w:sz w:val="24"/>
                <w:szCs w:val="24"/>
              </w:rPr>
              <w:t>Erasmus Belgica : pour étudier ou effectuer un stage en Belgique. Mêmes conditions que pour SMS ou SMP.</w:t>
            </w:r>
          </w:p>
        </w:tc>
      </w:tr>
      <w:tr w:rsidR="0012636F" w:rsidRPr="00730D83" w14:paraId="4DBEC83A" w14:textId="77777777" w:rsidTr="00A65D15">
        <w:tc>
          <w:tcPr>
            <w:tcW w:w="0" w:type="auto"/>
            <w:shd w:val="clear" w:color="auto" w:fill="DBDBDB" w:themeFill="accent3" w:themeFillTint="66"/>
          </w:tcPr>
          <w:p w14:paraId="4C81FB8D" w14:textId="77777777" w:rsidR="00584DEC" w:rsidRPr="003F514A" w:rsidRDefault="00584DEC" w:rsidP="00A65D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19C2185" w14:textId="77777777" w:rsidR="0012636F" w:rsidRPr="00E4267A" w:rsidRDefault="0012636F" w:rsidP="003F51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143BE7" w14:textId="56E84C3A" w:rsidR="003F514A" w:rsidRPr="00E4267A" w:rsidRDefault="002E3310" w:rsidP="003F51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Nathalie de Harlez</w:t>
      </w:r>
      <w:r w:rsidR="005C0258">
        <w:rPr>
          <w:rFonts w:ascii="Arial" w:hAnsi="Arial" w:cs="Arial"/>
          <w:sz w:val="18"/>
          <w:szCs w:val="18"/>
        </w:rPr>
        <w:t xml:space="preserve"> &amp; Emmanuelle Gobbe</w:t>
      </w:r>
      <w:r w:rsidR="00584DEC" w:rsidRPr="003F514A">
        <w:rPr>
          <w:rFonts w:ascii="Arial" w:hAnsi="Arial" w:cs="Arial"/>
          <w:sz w:val="18"/>
          <w:szCs w:val="18"/>
        </w:rPr>
        <w:t>, Coordinat</w:t>
      </w:r>
      <w:r>
        <w:rPr>
          <w:rFonts w:ascii="Arial" w:hAnsi="Arial" w:cs="Arial"/>
          <w:sz w:val="18"/>
          <w:szCs w:val="18"/>
        </w:rPr>
        <w:t>rice</w:t>
      </w:r>
      <w:r w:rsidR="005C0258">
        <w:rPr>
          <w:rFonts w:ascii="Arial" w:hAnsi="Arial" w:cs="Arial"/>
          <w:sz w:val="18"/>
          <w:szCs w:val="18"/>
        </w:rPr>
        <w:t>s</w:t>
      </w:r>
      <w:r w:rsidR="00584DEC" w:rsidRPr="003F51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 w:rsidR="00584DEC" w:rsidRPr="003F514A">
        <w:rPr>
          <w:rFonts w:ascii="Arial" w:hAnsi="Arial" w:cs="Arial"/>
          <w:sz w:val="18"/>
          <w:szCs w:val="18"/>
        </w:rPr>
        <w:t>épartemental</w:t>
      </w:r>
      <w:r>
        <w:rPr>
          <w:rFonts w:ascii="Arial" w:hAnsi="Arial" w:cs="Arial"/>
          <w:sz w:val="18"/>
          <w:szCs w:val="18"/>
        </w:rPr>
        <w:t>e</w:t>
      </w:r>
      <w:r w:rsidR="005C025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département </w:t>
      </w:r>
      <w:r w:rsidR="00584DEC" w:rsidRPr="003F514A">
        <w:rPr>
          <w:rFonts w:ascii="Arial" w:hAnsi="Arial" w:cs="Arial"/>
          <w:sz w:val="18"/>
          <w:szCs w:val="18"/>
        </w:rPr>
        <w:t>Agronomique</w:t>
      </w:r>
      <w:r w:rsidR="00A9379B" w:rsidRPr="003F514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F514A" w:rsidRPr="003F514A">
        <w:rPr>
          <w:rFonts w:ascii="Arial" w:hAnsi="Arial" w:cs="Arial"/>
          <w:sz w:val="18"/>
          <w:szCs w:val="18"/>
        </w:rPr>
        <w:t>HECh</w:t>
      </w:r>
      <w:proofErr w:type="spellEnd"/>
      <w:r w:rsidR="005C0258">
        <w:rPr>
          <w:rFonts w:ascii="Arial" w:hAnsi="Arial" w:cs="Arial"/>
          <w:sz w:val="18"/>
          <w:szCs w:val="18"/>
        </w:rPr>
        <w:t>/</w:t>
      </w:r>
      <w:proofErr w:type="spellStart"/>
      <w:r w:rsidR="003F514A" w:rsidRPr="003F514A">
        <w:rPr>
          <w:rFonts w:ascii="Arial" w:hAnsi="Arial" w:cs="Arial"/>
          <w:sz w:val="18"/>
          <w:szCs w:val="18"/>
        </w:rPr>
        <w:t>ISIa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5C0258">
        <w:rPr>
          <w:rFonts w:ascii="Arial" w:hAnsi="Arial" w:cs="Arial"/>
          <w:sz w:val="18"/>
          <w:szCs w:val="18"/>
        </w:rPr>
        <w:t>Huy/</w:t>
      </w:r>
      <w:r w:rsidR="003F514A" w:rsidRPr="003F514A">
        <w:rPr>
          <w:rFonts w:ascii="Arial" w:hAnsi="Arial" w:cs="Arial"/>
          <w:sz w:val="18"/>
          <w:szCs w:val="18"/>
        </w:rPr>
        <w:t>Gembloux</w:t>
      </w:r>
      <w:r w:rsidR="005C0258">
        <w:rPr>
          <w:rFonts w:ascii="Arial" w:hAnsi="Arial" w:cs="Arial"/>
          <w:sz w:val="18"/>
          <w:szCs w:val="18"/>
        </w:rPr>
        <w:t>.</w:t>
      </w:r>
    </w:p>
    <w:p w14:paraId="424AD6CC" w14:textId="77777777" w:rsidR="00A9379B" w:rsidRPr="003F514A" w:rsidRDefault="00A9379B">
      <w:pPr>
        <w:rPr>
          <w:rFonts w:ascii="Arial" w:hAnsi="Arial" w:cs="Arial"/>
          <w:sz w:val="18"/>
          <w:szCs w:val="18"/>
        </w:rPr>
      </w:pPr>
    </w:p>
    <w:sectPr w:rsidR="00A9379B" w:rsidRPr="003F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E2FB0"/>
    <w:multiLevelType w:val="hybridMultilevel"/>
    <w:tmpl w:val="7B26C536"/>
    <w:lvl w:ilvl="0" w:tplc="767CD030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5316"/>
    <w:multiLevelType w:val="hybridMultilevel"/>
    <w:tmpl w:val="91224ECC"/>
    <w:lvl w:ilvl="0" w:tplc="D14AA4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1627"/>
    <w:multiLevelType w:val="hybridMultilevel"/>
    <w:tmpl w:val="D8108F9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6F"/>
    <w:rsid w:val="00016C7E"/>
    <w:rsid w:val="000204FB"/>
    <w:rsid w:val="000263B0"/>
    <w:rsid w:val="00053E62"/>
    <w:rsid w:val="00055359"/>
    <w:rsid w:val="00076DA0"/>
    <w:rsid w:val="000A67BE"/>
    <w:rsid w:val="000D7C2D"/>
    <w:rsid w:val="0012013B"/>
    <w:rsid w:val="0012636F"/>
    <w:rsid w:val="00194CDA"/>
    <w:rsid w:val="001D16F2"/>
    <w:rsid w:val="002104A2"/>
    <w:rsid w:val="00214AE4"/>
    <w:rsid w:val="00290191"/>
    <w:rsid w:val="002A3227"/>
    <w:rsid w:val="002D0D49"/>
    <w:rsid w:val="002E3310"/>
    <w:rsid w:val="00306578"/>
    <w:rsid w:val="00322DEA"/>
    <w:rsid w:val="00326741"/>
    <w:rsid w:val="003348CF"/>
    <w:rsid w:val="003F514A"/>
    <w:rsid w:val="0040111D"/>
    <w:rsid w:val="004047F5"/>
    <w:rsid w:val="004054ED"/>
    <w:rsid w:val="004638E5"/>
    <w:rsid w:val="004E0FB0"/>
    <w:rsid w:val="005106A7"/>
    <w:rsid w:val="00534BF8"/>
    <w:rsid w:val="005618C1"/>
    <w:rsid w:val="00584DEC"/>
    <w:rsid w:val="005C0258"/>
    <w:rsid w:val="005C54FF"/>
    <w:rsid w:val="00605859"/>
    <w:rsid w:val="006862C8"/>
    <w:rsid w:val="006B4BE8"/>
    <w:rsid w:val="00753E68"/>
    <w:rsid w:val="00767BBE"/>
    <w:rsid w:val="00771A1F"/>
    <w:rsid w:val="00774A12"/>
    <w:rsid w:val="007967E3"/>
    <w:rsid w:val="007A612A"/>
    <w:rsid w:val="007C08D5"/>
    <w:rsid w:val="008824B4"/>
    <w:rsid w:val="008D3E2F"/>
    <w:rsid w:val="008F3910"/>
    <w:rsid w:val="009454C4"/>
    <w:rsid w:val="009E0E2D"/>
    <w:rsid w:val="00A00034"/>
    <w:rsid w:val="00A02636"/>
    <w:rsid w:val="00A10A3B"/>
    <w:rsid w:val="00A84BEF"/>
    <w:rsid w:val="00A9379B"/>
    <w:rsid w:val="00AB2E62"/>
    <w:rsid w:val="00B30AAC"/>
    <w:rsid w:val="00C605B3"/>
    <w:rsid w:val="00CA35FF"/>
    <w:rsid w:val="00CD5D78"/>
    <w:rsid w:val="00CD6932"/>
    <w:rsid w:val="00E07AEF"/>
    <w:rsid w:val="00E16DAE"/>
    <w:rsid w:val="00E4267A"/>
    <w:rsid w:val="00EB1981"/>
    <w:rsid w:val="00EC31BB"/>
    <w:rsid w:val="00EF407E"/>
    <w:rsid w:val="00F62F6D"/>
    <w:rsid w:val="00F638C5"/>
    <w:rsid w:val="00F84EA7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DA7B"/>
  <w15:chartTrackingRefBased/>
  <w15:docId w15:val="{AA5505E8-816C-4CD3-8CEA-68538166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36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2636F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63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76a742acc4e22b23ff8ab083674257e5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98d01a793bc8d48886c43db2b7d346c0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77C44-0A81-4700-815E-E0B2ADD390C6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237ff2d-9e4e-4ddf-b833-6f996c503286"/>
    <ds:schemaRef ds:uri="http://schemas.microsoft.com/office/2006/documentManagement/types"/>
    <ds:schemaRef ds:uri="5d987810-998e-4939-9ddf-a98991ea68b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4B7737-E0C3-4099-8D39-FD06B49ED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12AD6-4EAD-4D69-BC66-E661983D8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Gielen</dc:creator>
  <cp:keywords/>
  <dc:description/>
  <cp:lastModifiedBy>Pairoux Dominique</cp:lastModifiedBy>
  <cp:revision>2</cp:revision>
  <dcterms:created xsi:type="dcterms:W3CDTF">2022-06-07T11:34:00Z</dcterms:created>
  <dcterms:modified xsi:type="dcterms:W3CDTF">2022-06-07T11:34:00Z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0x010100E746AE87F7A97B4FB40B29B011B070A1</vt:lpwstr>
  </property>
</Properties>
</file>