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5E" w:rsidRPr="00F42F5E" w:rsidRDefault="00F42F5E" w:rsidP="00F42F5E">
      <w:pPr>
        <w:jc w:val="center"/>
        <w:rPr>
          <w:sz w:val="28"/>
          <w:szCs w:val="28"/>
          <w:u w:val="single"/>
        </w:rPr>
      </w:pPr>
      <w:bookmarkStart w:id="0" w:name="_GoBack"/>
      <w:bookmarkEnd w:id="0"/>
      <w:r w:rsidRPr="00F42F5E">
        <w:rPr>
          <w:sz w:val="28"/>
          <w:szCs w:val="28"/>
          <w:u w:val="single"/>
        </w:rPr>
        <w:t>Aide à la rédaction du rapport final de mobilité</w:t>
      </w:r>
    </w:p>
    <w:p w:rsidR="00F42F5E" w:rsidRDefault="00F42F5E"/>
    <w:p w:rsidR="00F42F5E" w:rsidRDefault="00F42F5E">
      <w:r>
        <w:t>Chers étudiants,</w:t>
      </w:r>
    </w:p>
    <w:p w:rsidR="00F42F5E" w:rsidRDefault="00F42F5E">
      <w:r>
        <w:t>Vous trouverez ci-dessous une fiche d’aide à la rédaction du rapport final de mobilité.</w:t>
      </w:r>
    </w:p>
    <w:p w:rsidR="00F42F5E" w:rsidRDefault="00F42F5E">
      <w:r>
        <w:t>Comme expliqué lors des réunions d’informations, la précision de vos réponses influence l’évaluation, par l’agence européenne Erasmus, de la qualité des services rendus par notre Bureau de Relation Internationales.</w:t>
      </w:r>
    </w:p>
    <w:p w:rsidR="00F42F5E" w:rsidRDefault="00F42F5E">
      <w:r>
        <w:t>Nous vous invitons donc à avoir ce document sous les yeux lorsque vous compléterez votre rapport final.</w:t>
      </w:r>
    </w:p>
    <w:p w:rsidR="00F42F5E" w:rsidRDefault="00F42F5E">
      <w:r>
        <w:t>La colonne « Points du rapport du participant » vous indique les articles nécessitant une clarification d’expressions propres au jargon international.</w:t>
      </w:r>
    </w:p>
    <w:p w:rsidR="00F42F5E" w:rsidRDefault="00F42F5E">
      <w:r>
        <w:t>Toute l’équipe du BRI compte sur votre rigueur lors de la formulation de cette dernière tâche.</w:t>
      </w:r>
    </w:p>
    <w:tbl>
      <w:tblPr>
        <w:tblStyle w:val="Grilledutableau"/>
        <w:tblW w:w="0" w:type="auto"/>
        <w:tblLook w:val="04A0" w:firstRow="1" w:lastRow="0" w:firstColumn="1" w:lastColumn="0" w:noHBand="0" w:noVBand="1"/>
      </w:tblPr>
      <w:tblGrid>
        <w:gridCol w:w="1438"/>
        <w:gridCol w:w="3258"/>
        <w:gridCol w:w="5760"/>
      </w:tblGrid>
      <w:tr w:rsidR="00450558" w:rsidTr="003931D4">
        <w:tc>
          <w:tcPr>
            <w:tcW w:w="0" w:type="auto"/>
            <w:shd w:val="clear" w:color="auto" w:fill="92D050"/>
          </w:tcPr>
          <w:p w:rsidR="00682CC7" w:rsidRDefault="00682CC7" w:rsidP="00DF6105">
            <w:r>
              <w:t>Poi</w:t>
            </w:r>
            <w:r w:rsidR="00DF6105">
              <w:t xml:space="preserve">nts du rapport du participant </w:t>
            </w:r>
          </w:p>
        </w:tc>
        <w:tc>
          <w:tcPr>
            <w:tcW w:w="0" w:type="auto"/>
            <w:shd w:val="clear" w:color="auto" w:fill="92D050"/>
          </w:tcPr>
          <w:p w:rsidR="00682CC7" w:rsidRDefault="00682CC7">
            <w:r>
              <w:t>Mots nécessitant une glose explicative</w:t>
            </w:r>
          </w:p>
        </w:tc>
        <w:tc>
          <w:tcPr>
            <w:tcW w:w="0" w:type="auto"/>
            <w:shd w:val="clear" w:color="auto" w:fill="92D050"/>
          </w:tcPr>
          <w:p w:rsidR="00682CC7" w:rsidRDefault="00682CC7">
            <w:r>
              <w:t>Glose des notions répertoriées</w:t>
            </w:r>
          </w:p>
        </w:tc>
      </w:tr>
      <w:tr w:rsidR="00C1102D" w:rsidRPr="00C1102D" w:rsidTr="00CB7662">
        <w:tc>
          <w:tcPr>
            <w:tcW w:w="0" w:type="auto"/>
            <w:shd w:val="clear" w:color="auto" w:fill="auto"/>
          </w:tcPr>
          <w:p w:rsidR="00CB7662" w:rsidRPr="00C1102D" w:rsidRDefault="00CB7662">
            <w:r w:rsidRPr="00C1102D">
              <w:t>2.8</w:t>
            </w:r>
          </w:p>
        </w:tc>
        <w:tc>
          <w:tcPr>
            <w:tcW w:w="0" w:type="auto"/>
            <w:shd w:val="clear" w:color="auto" w:fill="FFFFFF" w:themeFill="background1"/>
          </w:tcPr>
          <w:p w:rsidR="00CB7662" w:rsidRPr="00C1102D" w:rsidRDefault="00CB7662">
            <w:r w:rsidRPr="00C1102D">
              <w:t>EVENEMENT/MANIFESTATION</w:t>
            </w:r>
          </w:p>
        </w:tc>
        <w:tc>
          <w:tcPr>
            <w:tcW w:w="0" w:type="auto"/>
            <w:shd w:val="clear" w:color="auto" w:fill="FFFFFF" w:themeFill="background1"/>
          </w:tcPr>
          <w:p w:rsidR="00CB7662" w:rsidRPr="00C1102D" w:rsidRDefault="00CB7662">
            <w:r w:rsidRPr="00C1102D">
              <w:t>Soirée d’information</w:t>
            </w:r>
            <w:r w:rsidR="00BA6795" w:rsidRPr="00C1102D">
              <w:t xml:space="preserve"> Erasmus</w:t>
            </w:r>
          </w:p>
        </w:tc>
      </w:tr>
      <w:tr w:rsidR="00C1102D" w:rsidRPr="00C1102D" w:rsidTr="009E6108">
        <w:tc>
          <w:tcPr>
            <w:tcW w:w="0" w:type="auto"/>
            <w:shd w:val="clear" w:color="auto" w:fill="auto"/>
          </w:tcPr>
          <w:p w:rsidR="009E6108" w:rsidRPr="00C1102D" w:rsidRDefault="009E6108" w:rsidP="009E6108">
            <w:r w:rsidRPr="00C1102D">
              <w:t>4.3</w:t>
            </w:r>
          </w:p>
          <w:p w:rsidR="00415001" w:rsidRPr="00C1102D" w:rsidRDefault="00415001"/>
        </w:tc>
        <w:tc>
          <w:tcPr>
            <w:tcW w:w="0" w:type="auto"/>
            <w:shd w:val="clear" w:color="auto" w:fill="auto"/>
          </w:tcPr>
          <w:p w:rsidR="009E6108" w:rsidRPr="00C1102D" w:rsidRDefault="009E6108" w:rsidP="009E6108">
            <w:r w:rsidRPr="00C1102D">
              <w:t>ALUMNI</w:t>
            </w:r>
          </w:p>
          <w:p w:rsidR="00415001" w:rsidRPr="00C1102D" w:rsidRDefault="00415001"/>
        </w:tc>
        <w:tc>
          <w:tcPr>
            <w:tcW w:w="0" w:type="auto"/>
            <w:shd w:val="clear" w:color="auto" w:fill="auto"/>
          </w:tcPr>
          <w:p w:rsidR="009E6108" w:rsidRPr="00C1102D" w:rsidRDefault="009E6108" w:rsidP="009E6108">
            <w:r w:rsidRPr="00C1102D">
              <w:t>Anciens étudiants</w:t>
            </w:r>
          </w:p>
          <w:p w:rsidR="00415001" w:rsidRPr="00C1102D" w:rsidRDefault="00415001"/>
        </w:tc>
      </w:tr>
      <w:tr w:rsidR="00C1102D" w:rsidRPr="00C1102D" w:rsidTr="009E6108">
        <w:tc>
          <w:tcPr>
            <w:tcW w:w="0" w:type="auto"/>
            <w:shd w:val="clear" w:color="auto" w:fill="auto"/>
          </w:tcPr>
          <w:p w:rsidR="009E6108" w:rsidRPr="00C1102D" w:rsidRDefault="009E6108" w:rsidP="009E6108">
            <w:r w:rsidRPr="00C1102D">
              <w:t>5</w:t>
            </w:r>
          </w:p>
        </w:tc>
        <w:tc>
          <w:tcPr>
            <w:tcW w:w="0" w:type="auto"/>
            <w:shd w:val="clear" w:color="auto" w:fill="auto"/>
          </w:tcPr>
          <w:p w:rsidR="009E6108" w:rsidRPr="00C1102D" w:rsidRDefault="009E6108" w:rsidP="009E6108">
            <w:r w:rsidRPr="00C1102D">
              <w:t>RECONNAISSANCE ACADÉMIQUE</w:t>
            </w:r>
          </w:p>
          <w:p w:rsidR="009E6108" w:rsidRPr="00C1102D" w:rsidRDefault="009E6108" w:rsidP="009E6108"/>
        </w:tc>
        <w:tc>
          <w:tcPr>
            <w:tcW w:w="0" w:type="auto"/>
            <w:shd w:val="clear" w:color="auto" w:fill="auto"/>
          </w:tcPr>
          <w:p w:rsidR="009E6108" w:rsidRPr="00C1102D" w:rsidRDefault="009E6108" w:rsidP="009E6108">
            <w:r w:rsidRPr="00C1102D">
              <w:t>Prise en compte par l’établissement d</w:t>
            </w:r>
            <w:r w:rsidR="004F0F5A" w:rsidRPr="00C1102D">
              <w:t>’origine (</w:t>
            </w:r>
            <w:r w:rsidR="00DF6105">
              <w:t>HECh</w:t>
            </w:r>
            <w:r w:rsidR="004F0F5A" w:rsidRPr="00C1102D">
              <w:t>) de tous les crédits ECTS</w:t>
            </w:r>
            <w:r w:rsidRPr="00C1102D">
              <w:t xml:space="preserve"> réussis à l’étranger</w:t>
            </w:r>
          </w:p>
          <w:p w:rsidR="009E6108" w:rsidRPr="00C1102D" w:rsidRDefault="009E6108" w:rsidP="009E6108"/>
        </w:tc>
      </w:tr>
      <w:tr w:rsidR="00C1102D" w:rsidRPr="00C1102D" w:rsidTr="009E6108">
        <w:tc>
          <w:tcPr>
            <w:tcW w:w="0" w:type="auto"/>
            <w:shd w:val="clear" w:color="auto" w:fill="auto"/>
          </w:tcPr>
          <w:p w:rsidR="009E6108" w:rsidRPr="00C1102D" w:rsidRDefault="009E6108" w:rsidP="009E6108">
            <w:r w:rsidRPr="00C1102D">
              <w:t>5.1</w:t>
            </w:r>
          </w:p>
          <w:p w:rsidR="009E6108" w:rsidRPr="00C1102D" w:rsidRDefault="009E6108" w:rsidP="009E6108"/>
        </w:tc>
        <w:tc>
          <w:tcPr>
            <w:tcW w:w="0" w:type="auto"/>
            <w:shd w:val="clear" w:color="auto" w:fill="auto"/>
          </w:tcPr>
          <w:p w:rsidR="009E6108" w:rsidRPr="00C1102D" w:rsidRDefault="009E6108" w:rsidP="009E6108">
            <w:r w:rsidRPr="00C1102D">
              <w:t>CONTRAT PÉDAGOGIQUE</w:t>
            </w:r>
          </w:p>
          <w:p w:rsidR="009E6108" w:rsidRPr="00C1102D" w:rsidRDefault="009E6108" w:rsidP="009E6108"/>
        </w:tc>
        <w:tc>
          <w:tcPr>
            <w:tcW w:w="0" w:type="auto"/>
            <w:shd w:val="clear" w:color="auto" w:fill="auto"/>
          </w:tcPr>
          <w:p w:rsidR="009E6108" w:rsidRPr="00C1102D" w:rsidRDefault="009E6108" w:rsidP="009E6108">
            <w:r w:rsidRPr="00C1102D">
              <w:t xml:space="preserve">Learning agreement (liste de cours </w:t>
            </w:r>
            <w:r w:rsidR="00950172" w:rsidRPr="00C1102D">
              <w:t xml:space="preserve">ou </w:t>
            </w:r>
            <w:r w:rsidRPr="00C1102D">
              <w:t>contrat d’études) encodé puis validé par l’étudiant, le coordinateur de l’établissement d’origine et le coordinateur de l’établissement d’accueil via myhech</w:t>
            </w:r>
          </w:p>
          <w:p w:rsidR="009E6108" w:rsidRPr="00C1102D" w:rsidRDefault="009E6108" w:rsidP="009E6108"/>
        </w:tc>
      </w:tr>
      <w:tr w:rsidR="00C1102D" w:rsidRPr="00C1102D" w:rsidTr="009E6108">
        <w:tc>
          <w:tcPr>
            <w:tcW w:w="0" w:type="auto"/>
            <w:shd w:val="clear" w:color="auto" w:fill="auto"/>
          </w:tcPr>
          <w:p w:rsidR="009E6108" w:rsidRPr="00C1102D" w:rsidRDefault="009E6108" w:rsidP="009E6108">
            <w:r w:rsidRPr="00C1102D">
              <w:t>5.11</w:t>
            </w:r>
          </w:p>
          <w:p w:rsidR="00E13BD2" w:rsidRPr="00C1102D" w:rsidRDefault="00E13BD2" w:rsidP="009E6108"/>
          <w:p w:rsidR="00E13BD2" w:rsidRPr="00C1102D" w:rsidRDefault="00E13BD2" w:rsidP="009E6108"/>
          <w:p w:rsidR="00E13BD2" w:rsidRPr="00C1102D" w:rsidRDefault="00E13BD2" w:rsidP="009E6108"/>
          <w:p w:rsidR="00E13BD2" w:rsidRPr="00C1102D" w:rsidRDefault="00E13BD2" w:rsidP="00E13BD2">
            <w:r w:rsidRPr="00C1102D">
              <w:t>5.18</w:t>
            </w:r>
          </w:p>
          <w:p w:rsidR="00E13BD2" w:rsidRPr="00C1102D" w:rsidRDefault="00E13BD2" w:rsidP="00E13BD2">
            <w:r w:rsidRPr="00C1102D">
              <w:t>5.19</w:t>
            </w:r>
          </w:p>
          <w:p w:rsidR="009E6108" w:rsidRPr="00C1102D" w:rsidRDefault="009E6108" w:rsidP="009E6108"/>
        </w:tc>
        <w:tc>
          <w:tcPr>
            <w:tcW w:w="0" w:type="auto"/>
            <w:shd w:val="clear" w:color="auto" w:fill="auto"/>
          </w:tcPr>
          <w:p w:rsidR="009E6108" w:rsidRPr="00C1102D" w:rsidRDefault="009E6108" w:rsidP="009E6108">
            <w:r w:rsidRPr="00C1102D">
              <w:t>RECONNAISSANCE ACADÉMIQUE</w:t>
            </w:r>
          </w:p>
          <w:p w:rsidR="00E13BD2" w:rsidRPr="00C1102D" w:rsidRDefault="00E13BD2" w:rsidP="009E6108"/>
          <w:p w:rsidR="00E13BD2" w:rsidRPr="00C1102D" w:rsidRDefault="00E13BD2" w:rsidP="009E6108"/>
          <w:p w:rsidR="00E13BD2" w:rsidRPr="00C1102D" w:rsidRDefault="00E13BD2" w:rsidP="00E13BD2">
            <w:r w:rsidRPr="00C1102D">
              <w:t>NOMBRE TOTAL DE CRÉDITS ECTS</w:t>
            </w:r>
          </w:p>
          <w:p w:rsidR="009E6108" w:rsidRPr="00C1102D" w:rsidRDefault="009E6108" w:rsidP="00D960CC"/>
        </w:tc>
        <w:tc>
          <w:tcPr>
            <w:tcW w:w="0" w:type="auto"/>
            <w:shd w:val="clear" w:color="auto" w:fill="auto"/>
          </w:tcPr>
          <w:p w:rsidR="009E6108" w:rsidRPr="00C1102D" w:rsidRDefault="0054548D" w:rsidP="009E6108">
            <w:r w:rsidRPr="00C1102D">
              <w:t>P</w:t>
            </w:r>
            <w:r w:rsidR="00CF2C1E" w:rsidRPr="00C1102D">
              <w:t>l</w:t>
            </w:r>
            <w:r w:rsidRPr="00C1102D">
              <w:t>eine reconnaissance : tous les crédits</w:t>
            </w:r>
            <w:r w:rsidR="004F0F5A" w:rsidRPr="00C1102D">
              <w:t xml:space="preserve"> (ECTS)</w:t>
            </w:r>
            <w:r w:rsidRPr="00C1102D">
              <w:t xml:space="preserve"> pris en mobilité sont reconnus – ils figurent sur le relevé de notes (réussis ou ratés)</w:t>
            </w:r>
          </w:p>
          <w:p w:rsidR="00E13BD2" w:rsidRPr="00C1102D" w:rsidRDefault="00E13BD2" w:rsidP="009E6108"/>
          <w:p w:rsidR="009E6108" w:rsidRPr="00C1102D" w:rsidRDefault="00E13BD2" w:rsidP="009E6108">
            <w:r w:rsidRPr="00C1102D">
              <w:t xml:space="preserve">Attention ! L’asymétrie entre les quadrimestres au sein de la </w:t>
            </w:r>
            <w:r w:rsidR="00DF6105">
              <w:t>HECh</w:t>
            </w:r>
            <w:r w:rsidRPr="00C1102D">
              <w:t xml:space="preserve"> peu</w:t>
            </w:r>
            <w:r w:rsidR="004F0F5A" w:rsidRPr="00C1102D">
              <w:t>t conduire à un surnombre d’ECTS</w:t>
            </w:r>
            <w:r w:rsidRPr="00C1102D">
              <w:t xml:space="preserve"> en mobilité, tous reconnus, pris en compte, validés (si réussis) et repris sur le supplément au diplôme </w:t>
            </w:r>
            <w:r w:rsidR="004C34C6" w:rsidRPr="00C1102D">
              <w:t>de l’étudiant</w:t>
            </w:r>
            <w:r w:rsidR="004F0F5A" w:rsidRPr="00C1102D">
              <w:t>. Plus de 180 ECTS</w:t>
            </w:r>
            <w:r w:rsidRPr="00C1102D">
              <w:t xml:space="preserve"> peuvent être par conséquent mentionnés sur le supplément au diplôme de l’étudiant</w:t>
            </w:r>
            <w:r w:rsidR="00B60057" w:rsidRPr="00C1102D">
              <w:t>.</w:t>
            </w:r>
          </w:p>
          <w:p w:rsidR="00EC4A9F" w:rsidRPr="00C1102D" w:rsidRDefault="00EC4A9F" w:rsidP="009E6108"/>
        </w:tc>
      </w:tr>
      <w:tr w:rsidR="00C1102D" w:rsidRPr="00C1102D" w:rsidTr="006454E1">
        <w:tc>
          <w:tcPr>
            <w:tcW w:w="0" w:type="auto"/>
            <w:shd w:val="clear" w:color="auto" w:fill="auto"/>
          </w:tcPr>
          <w:p w:rsidR="00E13BD2" w:rsidRPr="00C1102D" w:rsidRDefault="00E13BD2" w:rsidP="006454E1">
            <w:r w:rsidRPr="00C1102D">
              <w:t>5.20</w:t>
            </w:r>
          </w:p>
        </w:tc>
        <w:tc>
          <w:tcPr>
            <w:tcW w:w="0" w:type="auto"/>
            <w:shd w:val="clear" w:color="auto" w:fill="auto"/>
          </w:tcPr>
          <w:p w:rsidR="00E13BD2" w:rsidRPr="00C1102D" w:rsidRDefault="00E13BD2" w:rsidP="006454E1">
            <w:r w:rsidRPr="00C1102D">
              <w:t>FENETRE DE MOBILITE</w:t>
            </w:r>
          </w:p>
        </w:tc>
        <w:tc>
          <w:tcPr>
            <w:tcW w:w="0" w:type="auto"/>
            <w:shd w:val="clear" w:color="auto" w:fill="auto"/>
          </w:tcPr>
          <w:p w:rsidR="00E13BD2" w:rsidRPr="00C1102D" w:rsidRDefault="00950172" w:rsidP="006454E1">
            <w:r w:rsidRPr="00C1102D">
              <w:t xml:space="preserve">Pas d’application à la </w:t>
            </w:r>
            <w:r w:rsidR="00DF6105">
              <w:t>HECh</w:t>
            </w:r>
          </w:p>
          <w:p w:rsidR="00EC4A9F" w:rsidRPr="00C1102D" w:rsidRDefault="00EC4A9F" w:rsidP="006454E1"/>
        </w:tc>
      </w:tr>
      <w:tr w:rsidR="00C1102D" w:rsidRPr="00C1102D" w:rsidTr="00385CB3">
        <w:tc>
          <w:tcPr>
            <w:tcW w:w="0" w:type="auto"/>
            <w:shd w:val="clear" w:color="auto" w:fill="auto"/>
          </w:tcPr>
          <w:p w:rsidR="00E13BD2" w:rsidRPr="00C1102D" w:rsidRDefault="00E13BD2" w:rsidP="00385CB3">
            <w:r w:rsidRPr="00C1102D">
              <w:t>5.22</w:t>
            </w:r>
          </w:p>
        </w:tc>
        <w:tc>
          <w:tcPr>
            <w:tcW w:w="0" w:type="auto"/>
            <w:shd w:val="clear" w:color="auto" w:fill="auto"/>
          </w:tcPr>
          <w:p w:rsidR="00E13BD2" w:rsidRPr="00C1102D" w:rsidRDefault="00E13BD2" w:rsidP="00385CB3">
            <w:r w:rsidRPr="00C1102D">
              <w:t>CONVERSION DES NOTES</w:t>
            </w:r>
          </w:p>
        </w:tc>
        <w:tc>
          <w:tcPr>
            <w:tcW w:w="0" w:type="auto"/>
            <w:shd w:val="clear" w:color="auto" w:fill="auto"/>
          </w:tcPr>
          <w:p w:rsidR="00E13BD2" w:rsidRPr="00C1102D" w:rsidRDefault="00E13BD2" w:rsidP="00385CB3">
            <w:r w:rsidRPr="00C1102D">
              <w:t>Tableau de conversion remis lors de la signature du contrat de bourse</w:t>
            </w:r>
          </w:p>
          <w:p w:rsidR="00EC4A9F" w:rsidRPr="00C1102D" w:rsidRDefault="00EC4A9F" w:rsidP="00385CB3"/>
        </w:tc>
      </w:tr>
      <w:tr w:rsidR="00C1102D" w:rsidRPr="00C1102D" w:rsidTr="009E6108">
        <w:tc>
          <w:tcPr>
            <w:tcW w:w="0" w:type="auto"/>
            <w:shd w:val="clear" w:color="auto" w:fill="auto"/>
          </w:tcPr>
          <w:p w:rsidR="00E13BD2" w:rsidRPr="00C1102D" w:rsidRDefault="00E13BD2" w:rsidP="00E13BD2">
            <w:r w:rsidRPr="00C1102D">
              <w:t>6.4</w:t>
            </w:r>
          </w:p>
          <w:p w:rsidR="009E6108" w:rsidRPr="00C1102D" w:rsidRDefault="009E6108" w:rsidP="00D960CC"/>
        </w:tc>
        <w:tc>
          <w:tcPr>
            <w:tcW w:w="0" w:type="auto"/>
            <w:shd w:val="clear" w:color="auto" w:fill="auto"/>
          </w:tcPr>
          <w:p w:rsidR="009E6108" w:rsidRPr="00C1102D" w:rsidRDefault="009E6108" w:rsidP="009E6108">
            <w:r w:rsidRPr="00C1102D">
              <w:t>SOUTIEN LINGUISTIQUE</w:t>
            </w:r>
          </w:p>
          <w:p w:rsidR="009E6108" w:rsidRPr="00C1102D" w:rsidRDefault="009E6108" w:rsidP="009E6108"/>
        </w:tc>
        <w:tc>
          <w:tcPr>
            <w:tcW w:w="0" w:type="auto"/>
            <w:shd w:val="clear" w:color="auto" w:fill="auto"/>
          </w:tcPr>
          <w:p w:rsidR="004F0F5A" w:rsidRPr="00C1102D" w:rsidRDefault="009E6108" w:rsidP="009E6108">
            <w:r w:rsidRPr="00C1102D">
              <w:t>Entre autres aides accessibles à tous les étudiants mobi</w:t>
            </w:r>
            <w:r w:rsidR="00E13BD2" w:rsidRPr="00C1102D">
              <w:t>les dans le cadre du programme E</w:t>
            </w:r>
            <w:r w:rsidRPr="00C1102D">
              <w:t>rasmus+ ou FAMÉ</w:t>
            </w:r>
            <w:r w:rsidR="00EC4A9F" w:rsidRPr="00C1102D">
              <w:t xml:space="preserve"> ou E Belgica</w:t>
            </w:r>
            <w:r w:rsidRPr="00C1102D">
              <w:t xml:space="preserve">: </w:t>
            </w:r>
          </w:p>
          <w:p w:rsidR="009E6108" w:rsidRPr="00C1102D" w:rsidRDefault="004F0F5A" w:rsidP="009E6108">
            <w:r w:rsidRPr="00C1102D">
              <w:t xml:space="preserve">- </w:t>
            </w:r>
            <w:r w:rsidR="00EC4A9F" w:rsidRPr="00C1102D">
              <w:t xml:space="preserve">OLS (Online Linguistic Support), </w:t>
            </w:r>
          </w:p>
          <w:p w:rsidR="009E6108" w:rsidRPr="00C1102D" w:rsidRDefault="004F0F5A" w:rsidP="009E6108">
            <w:r w:rsidRPr="00C1102D">
              <w:t xml:space="preserve">- </w:t>
            </w:r>
            <w:r w:rsidR="00EC4A9F" w:rsidRPr="00C1102D">
              <w:t>c</w:t>
            </w:r>
            <w:r w:rsidR="009E6108" w:rsidRPr="00C1102D">
              <w:t>ours pris avant le départ ou dépenses en matériel pédagogique pour l’apprentissage de la langue, cours suivis en mobilité : remboursement de maximum 100 € par le BRI</w:t>
            </w:r>
          </w:p>
          <w:p w:rsidR="009E6108" w:rsidRPr="00C1102D" w:rsidRDefault="009E6108" w:rsidP="009E6108"/>
        </w:tc>
      </w:tr>
      <w:tr w:rsidR="00C1102D" w:rsidRPr="00C1102D" w:rsidTr="009E6108">
        <w:tc>
          <w:tcPr>
            <w:tcW w:w="0" w:type="auto"/>
            <w:shd w:val="clear" w:color="auto" w:fill="auto"/>
          </w:tcPr>
          <w:p w:rsidR="009E6108" w:rsidRPr="00C1102D" w:rsidRDefault="00E13BD2" w:rsidP="00E13BD2">
            <w:r w:rsidRPr="00C1102D">
              <w:t>9.1</w:t>
            </w:r>
          </w:p>
        </w:tc>
        <w:tc>
          <w:tcPr>
            <w:tcW w:w="0" w:type="auto"/>
            <w:shd w:val="clear" w:color="auto" w:fill="auto"/>
          </w:tcPr>
          <w:p w:rsidR="009E6108" w:rsidRPr="00C1102D" w:rsidRDefault="009E6108" w:rsidP="009E6108">
            <w:r w:rsidRPr="00C1102D">
              <w:t>PROCÉDURE DE SÉLECTION</w:t>
            </w:r>
          </w:p>
          <w:p w:rsidR="009E6108" w:rsidRPr="00C1102D" w:rsidRDefault="009E6108" w:rsidP="009E6108"/>
        </w:tc>
        <w:tc>
          <w:tcPr>
            <w:tcW w:w="0" w:type="auto"/>
            <w:shd w:val="clear" w:color="auto" w:fill="auto"/>
          </w:tcPr>
          <w:p w:rsidR="009E6108" w:rsidRPr="00C1102D" w:rsidRDefault="009E6108" w:rsidP="009E6108">
            <w:r w:rsidRPr="00C1102D">
              <w:t xml:space="preserve">Les procédures de sélection sont toutes explicitées dans le document téléchargeable sur l’onglet des relations </w:t>
            </w:r>
            <w:r w:rsidRPr="00C1102D">
              <w:lastRenderedPageBreak/>
              <w:t xml:space="preserve">internationales </w:t>
            </w:r>
            <w:hyperlink r:id="rId7" w:history="1">
              <w:r w:rsidRPr="00C1102D">
                <w:rPr>
                  <w:rStyle w:val="Lienhypertexte"/>
                  <w:color w:val="auto"/>
                </w:rPr>
                <w:t>www.hech.be</w:t>
              </w:r>
            </w:hyperlink>
            <w:r w:rsidRPr="00C1102D">
              <w:t xml:space="preserve">, FAQ « partir étudier à l’étranger (Outgoing) ». </w:t>
            </w:r>
          </w:p>
          <w:p w:rsidR="00E13BD2" w:rsidRPr="00C1102D" w:rsidRDefault="009E6108" w:rsidP="009E6108">
            <w:r w:rsidRPr="00C1102D">
              <w:t>Pour partir en mobilité académique, l’étudiant doit avoir réussi l’ensemble de son programme annuel antérieur à la période de mobilité. En cas de surnombre pour une destination, les résultats aux examens de janvier départagent les candidats. Si un étudiant a essuyé un ou des échec(s) en janvier, les établissements dont la rentrée est précoce lui sont fermés.</w:t>
            </w:r>
          </w:p>
          <w:p w:rsidR="009E6108" w:rsidRPr="00C1102D" w:rsidRDefault="00E13BD2" w:rsidP="009E6108">
            <w:r w:rsidRPr="00C1102D">
              <w:t xml:space="preserve">En outre, </w:t>
            </w:r>
            <w:r w:rsidR="00BA6795" w:rsidRPr="00C1102D">
              <w:t xml:space="preserve">tous </w:t>
            </w:r>
            <w:r w:rsidR="00CF2C1E" w:rsidRPr="00C1102D">
              <w:t>c</w:t>
            </w:r>
            <w:r w:rsidR="009E6108" w:rsidRPr="00C1102D">
              <w:t>es critères</w:t>
            </w:r>
            <w:r w:rsidR="00BA6795" w:rsidRPr="00C1102D">
              <w:t xml:space="preserve"> de sélection</w:t>
            </w:r>
            <w:r w:rsidR="009E6108" w:rsidRPr="00C1102D">
              <w:t xml:space="preserve"> sont présentés lors de la soirée d’information Erasmus du mois d’octobre.</w:t>
            </w:r>
          </w:p>
          <w:p w:rsidR="009E6108" w:rsidRPr="00C1102D" w:rsidRDefault="009E6108" w:rsidP="009E6108"/>
        </w:tc>
      </w:tr>
      <w:tr w:rsidR="00C1102D" w:rsidRPr="00C1102D" w:rsidTr="009E6108">
        <w:tc>
          <w:tcPr>
            <w:tcW w:w="0" w:type="auto"/>
            <w:shd w:val="clear" w:color="auto" w:fill="auto"/>
          </w:tcPr>
          <w:p w:rsidR="009E6108" w:rsidRPr="00C1102D" w:rsidRDefault="009E6108" w:rsidP="009E6108">
            <w:r w:rsidRPr="00C1102D">
              <w:lastRenderedPageBreak/>
              <w:t>9.</w:t>
            </w:r>
            <w:r w:rsidR="00867580" w:rsidRPr="00C1102D">
              <w:t>2</w:t>
            </w:r>
          </w:p>
          <w:p w:rsidR="009E6108" w:rsidRPr="00C1102D" w:rsidRDefault="009E6108" w:rsidP="009E6108"/>
        </w:tc>
        <w:tc>
          <w:tcPr>
            <w:tcW w:w="0" w:type="auto"/>
            <w:shd w:val="clear" w:color="auto" w:fill="auto"/>
          </w:tcPr>
          <w:p w:rsidR="009E6108" w:rsidRPr="00C1102D" w:rsidRDefault="009E6108" w:rsidP="009E6108">
            <w:r w:rsidRPr="00C1102D">
              <w:t>AIDE ADMINISTRATIVE</w:t>
            </w:r>
          </w:p>
          <w:p w:rsidR="009E6108" w:rsidRPr="00C1102D" w:rsidRDefault="009E6108" w:rsidP="009E6108"/>
        </w:tc>
        <w:tc>
          <w:tcPr>
            <w:tcW w:w="0" w:type="auto"/>
            <w:shd w:val="clear" w:color="auto" w:fill="auto"/>
          </w:tcPr>
          <w:p w:rsidR="009E6108" w:rsidRPr="00C1102D" w:rsidRDefault="009E6108" w:rsidP="009E6108">
            <w:r w:rsidRPr="00C1102D">
              <w:t xml:space="preserve">Toutes les consignes administratives inhérentes aux mobilités académiques sont téléchargeables en format actualisé annuellement sur l’onglet des relations Internationales, </w:t>
            </w:r>
            <w:hyperlink r:id="rId8" w:history="1">
              <w:r w:rsidRPr="00C1102D">
                <w:rPr>
                  <w:rStyle w:val="Lienhypertexte"/>
                  <w:color w:val="auto"/>
                </w:rPr>
                <w:t>www.hech.be</w:t>
              </w:r>
            </w:hyperlink>
            <w:r w:rsidRPr="00C1102D">
              <w:t>, « partir étudier à l’étranger (OUTGOING) ». Ces consignes sont toutes expliquées par Mme Dominique Pairoux lors de la soirée</w:t>
            </w:r>
            <w:r w:rsidR="00BA6795" w:rsidRPr="00C1102D">
              <w:t xml:space="preserve"> Erasmus du mois d’octobre. En m</w:t>
            </w:r>
            <w:r w:rsidRPr="00C1102D">
              <w:t xml:space="preserve">ars, elles sont présentées à l’occasion du briefing général des candidats sélectionnés. Le bureau des relations internationales est ouvert tous les jours ; l’adresse </w:t>
            </w:r>
            <w:hyperlink r:id="rId9" w:history="1">
              <w:r w:rsidRPr="00C1102D">
                <w:rPr>
                  <w:rStyle w:val="Lienhypertexte"/>
                  <w:color w:val="auto"/>
                </w:rPr>
                <w:t>relinter@hech.be</w:t>
              </w:r>
            </w:hyperlink>
            <w:r w:rsidRPr="00C1102D">
              <w:t xml:space="preserve"> est relevée quotidiennement. Les réponses aux questions formulées via cette adresse courriel sont </w:t>
            </w:r>
            <w:r w:rsidR="00FF4E79">
              <w:t>envoyées</w:t>
            </w:r>
            <w:r w:rsidRPr="00C1102D">
              <w:t xml:space="preserve"> dans les 24H.</w:t>
            </w:r>
          </w:p>
          <w:p w:rsidR="009E6108" w:rsidRPr="00C1102D" w:rsidRDefault="009E6108" w:rsidP="009E6108"/>
        </w:tc>
      </w:tr>
      <w:tr w:rsidR="00C1102D" w:rsidRPr="00C1102D" w:rsidTr="009E6108">
        <w:tc>
          <w:tcPr>
            <w:tcW w:w="0" w:type="auto"/>
            <w:shd w:val="clear" w:color="auto" w:fill="auto"/>
          </w:tcPr>
          <w:p w:rsidR="009E6108" w:rsidRPr="00C1102D" w:rsidRDefault="009E6108" w:rsidP="009E6108">
            <w:r w:rsidRPr="00C1102D">
              <w:t>9.2</w:t>
            </w:r>
          </w:p>
          <w:p w:rsidR="009E6108" w:rsidRPr="00C1102D" w:rsidRDefault="009E6108" w:rsidP="009E6108"/>
        </w:tc>
        <w:tc>
          <w:tcPr>
            <w:tcW w:w="0" w:type="auto"/>
            <w:shd w:val="clear" w:color="auto" w:fill="auto"/>
          </w:tcPr>
          <w:p w:rsidR="009E6108" w:rsidRPr="00C1102D" w:rsidRDefault="009E6108" w:rsidP="009E6108">
            <w:r w:rsidRPr="00C1102D">
              <w:t>TUTORAT ACADÉMIQUE</w:t>
            </w:r>
          </w:p>
          <w:p w:rsidR="009E6108" w:rsidRPr="00C1102D" w:rsidRDefault="009E6108" w:rsidP="009E6108"/>
        </w:tc>
        <w:tc>
          <w:tcPr>
            <w:tcW w:w="0" w:type="auto"/>
            <w:shd w:val="clear" w:color="auto" w:fill="auto"/>
          </w:tcPr>
          <w:p w:rsidR="009E6108" w:rsidRPr="00C1102D" w:rsidRDefault="009E6108" w:rsidP="009E6108">
            <w:r w:rsidRPr="00C1102D">
              <w:t>Le tuteur académique de la Catégori</w:t>
            </w:r>
            <w:r w:rsidR="00DF6105">
              <w:t>e Agronomique est Mme de Harlez</w:t>
            </w:r>
            <w:r w:rsidRPr="00C1102D">
              <w:t xml:space="preserve">, la Coordinatrice académique de la Catégorie Pédagogique est Mme Sylvie Poizat et la Coordinatrice académique de la Catégorie Économique est Mme Anne-Marie Martín Lanero. </w:t>
            </w:r>
          </w:p>
          <w:p w:rsidR="009E6108" w:rsidRPr="00C1102D" w:rsidRDefault="009E6108" w:rsidP="009E6108">
            <w:r w:rsidRPr="00C1102D">
              <w:t>Les trois Coordi</w:t>
            </w:r>
            <w:r w:rsidR="00BA6795" w:rsidRPr="00C1102D">
              <w:t>nateurs p</w:t>
            </w:r>
            <w:r w:rsidRPr="00C1102D">
              <w:t>édagogiques sont disponibles sur leur adresse hech ; les réponses aux questions sont formulées dans les 24H. Chacun d’entre eux propose aux étudiants mobiles une aide significative pour la confection du contrat d’études, par exemple sous la forme de grilles comparatives de convergence entre chaque établissement d’accueil et l’établissement d’origine, base du contrat d’études. Des permanences ou rendez-vous sont proposés aux étudiants désireux d’obtenir une aide individuelle.</w:t>
            </w:r>
          </w:p>
          <w:p w:rsidR="009E6108" w:rsidRPr="00C1102D" w:rsidRDefault="009E6108" w:rsidP="009E6108"/>
        </w:tc>
      </w:tr>
      <w:tr w:rsidR="00C1102D" w:rsidRPr="00C1102D" w:rsidTr="009E6108">
        <w:tc>
          <w:tcPr>
            <w:tcW w:w="0" w:type="auto"/>
            <w:shd w:val="clear" w:color="auto" w:fill="auto"/>
          </w:tcPr>
          <w:p w:rsidR="00867580" w:rsidRPr="00C1102D" w:rsidRDefault="00867580" w:rsidP="009E6108">
            <w:r w:rsidRPr="00C1102D">
              <w:t>9.2</w:t>
            </w:r>
          </w:p>
        </w:tc>
        <w:tc>
          <w:tcPr>
            <w:tcW w:w="0" w:type="auto"/>
            <w:shd w:val="clear" w:color="auto" w:fill="auto"/>
          </w:tcPr>
          <w:p w:rsidR="00867580" w:rsidRPr="00C1102D" w:rsidRDefault="00867580" w:rsidP="009E6108">
            <w:r w:rsidRPr="00C1102D">
              <w:t>AIDE POUR LES PROBLEMES ET LES BESOINS PERSONNELS</w:t>
            </w:r>
          </w:p>
        </w:tc>
        <w:tc>
          <w:tcPr>
            <w:tcW w:w="0" w:type="auto"/>
            <w:shd w:val="clear" w:color="auto" w:fill="auto"/>
          </w:tcPr>
          <w:p w:rsidR="00867580" w:rsidRPr="00C1102D" w:rsidRDefault="00867580" w:rsidP="00867580">
            <w:r w:rsidRPr="00C1102D">
              <w:t>L’adresse courriel relinter est relevée tous les jours y compris week-end et vacances et en cas de souci grave (maladie, accident, ...) un contact est pris dans les plus brefs délais</w:t>
            </w:r>
            <w:r w:rsidR="00B60057" w:rsidRPr="00C1102D">
              <w:t>.</w:t>
            </w:r>
          </w:p>
          <w:p w:rsidR="00EC4A9F" w:rsidRPr="00C1102D" w:rsidRDefault="00EC4A9F" w:rsidP="00867580"/>
        </w:tc>
      </w:tr>
      <w:tr w:rsidR="00C1102D" w:rsidRPr="00C1102D" w:rsidTr="009E6108">
        <w:tc>
          <w:tcPr>
            <w:tcW w:w="0" w:type="auto"/>
            <w:shd w:val="clear" w:color="auto" w:fill="auto"/>
          </w:tcPr>
          <w:p w:rsidR="009E6108" w:rsidRPr="00C1102D" w:rsidRDefault="009E6108" w:rsidP="009E6108">
            <w:r w:rsidRPr="00C1102D">
              <w:t>9.3</w:t>
            </w:r>
          </w:p>
        </w:tc>
        <w:tc>
          <w:tcPr>
            <w:tcW w:w="0" w:type="auto"/>
            <w:shd w:val="clear" w:color="auto" w:fill="auto"/>
          </w:tcPr>
          <w:p w:rsidR="009E6108" w:rsidRPr="00C1102D" w:rsidRDefault="009E6108" w:rsidP="009E6108">
            <w:r w:rsidRPr="00C1102D">
              <w:t>CATALOGUE DE COURS</w:t>
            </w:r>
          </w:p>
        </w:tc>
        <w:tc>
          <w:tcPr>
            <w:tcW w:w="0" w:type="auto"/>
            <w:shd w:val="clear" w:color="auto" w:fill="auto"/>
          </w:tcPr>
          <w:p w:rsidR="009E6108" w:rsidRPr="00C1102D" w:rsidRDefault="009E6108" w:rsidP="009E6108">
            <w:r w:rsidRPr="00C1102D">
              <w:t xml:space="preserve">Le catalogue de cours est généralement disponible sur le site de l’université d’accueil. Ce catalogue est systématiquement étudié pour la réalisation des grilles de convergence ou l’élaboration du contrat d’études par chaque Coordinateur pédagogique de la </w:t>
            </w:r>
            <w:r w:rsidR="00DF6105">
              <w:t>HECh</w:t>
            </w:r>
          </w:p>
          <w:p w:rsidR="00EC4A9F" w:rsidRPr="00C1102D" w:rsidRDefault="00EC4A9F" w:rsidP="009E6108"/>
        </w:tc>
      </w:tr>
      <w:tr w:rsidR="00C1102D" w:rsidRPr="00C1102D" w:rsidTr="009E6108">
        <w:tc>
          <w:tcPr>
            <w:tcW w:w="0" w:type="auto"/>
            <w:shd w:val="clear" w:color="auto" w:fill="auto"/>
          </w:tcPr>
          <w:p w:rsidR="009E6108" w:rsidRPr="00C1102D" w:rsidRDefault="00867580" w:rsidP="009E6108">
            <w:r w:rsidRPr="00C1102D">
              <w:t>9.7</w:t>
            </w:r>
          </w:p>
        </w:tc>
        <w:tc>
          <w:tcPr>
            <w:tcW w:w="0" w:type="auto"/>
            <w:shd w:val="clear" w:color="auto" w:fill="auto"/>
          </w:tcPr>
          <w:p w:rsidR="009E6108" w:rsidRPr="00C1102D" w:rsidRDefault="00867580" w:rsidP="009E6108">
            <w:r w:rsidRPr="00C1102D">
              <w:t>ASSURANCE</w:t>
            </w:r>
          </w:p>
        </w:tc>
        <w:tc>
          <w:tcPr>
            <w:tcW w:w="0" w:type="auto"/>
            <w:shd w:val="clear" w:color="auto" w:fill="auto"/>
          </w:tcPr>
          <w:p w:rsidR="009E6108" w:rsidRPr="00C1102D" w:rsidRDefault="00867580" w:rsidP="009E6108">
            <w:r w:rsidRPr="00C1102D">
              <w:t>Le document consignes remis dès la séance d’informations du mois de mars vous informe de manière claire et précise sur les assurances à prendre afin de répondre aux exigences des programmes de mobilité</w:t>
            </w:r>
            <w:r w:rsidR="00B60057" w:rsidRPr="00C1102D">
              <w:t>. La signature de l’étudiant vaut acceptation de l’ensemble des consignes.</w:t>
            </w:r>
          </w:p>
          <w:p w:rsidR="00EC4A9F" w:rsidRPr="00C1102D" w:rsidRDefault="00EC4A9F" w:rsidP="009E6108"/>
        </w:tc>
      </w:tr>
      <w:tr w:rsidR="00C1102D" w:rsidRPr="00C1102D" w:rsidTr="009E6108">
        <w:tc>
          <w:tcPr>
            <w:tcW w:w="0" w:type="auto"/>
            <w:shd w:val="clear" w:color="auto" w:fill="auto"/>
          </w:tcPr>
          <w:p w:rsidR="009E6108" w:rsidRPr="00C1102D" w:rsidRDefault="00867580" w:rsidP="009E6108">
            <w:r w:rsidRPr="00C1102D">
              <w:lastRenderedPageBreak/>
              <w:t>11.1</w:t>
            </w:r>
          </w:p>
        </w:tc>
        <w:tc>
          <w:tcPr>
            <w:tcW w:w="0" w:type="auto"/>
            <w:shd w:val="clear" w:color="auto" w:fill="auto"/>
          </w:tcPr>
          <w:p w:rsidR="009E6108" w:rsidRPr="00C1102D" w:rsidRDefault="00867580" w:rsidP="009E6108">
            <w:r w:rsidRPr="00C1102D">
              <w:t>SUBVENTION EUROPEEN</w:t>
            </w:r>
            <w:r w:rsidR="004F0F5A" w:rsidRPr="00C1102D">
              <w:t>N</w:t>
            </w:r>
            <w:r w:rsidRPr="00C1102D">
              <w:t>E</w:t>
            </w:r>
          </w:p>
        </w:tc>
        <w:tc>
          <w:tcPr>
            <w:tcW w:w="0" w:type="auto"/>
            <w:shd w:val="clear" w:color="auto" w:fill="auto"/>
          </w:tcPr>
          <w:p w:rsidR="009E6108" w:rsidRPr="00C1102D" w:rsidRDefault="00867580" w:rsidP="00867580">
            <w:r w:rsidRPr="00C1102D">
              <w:t>T</w:t>
            </w:r>
            <w:r w:rsidR="00DF6105">
              <w:t xml:space="preserve">ous les étudiants sélectionnés </w:t>
            </w:r>
            <w:r w:rsidRPr="00C1102D">
              <w:t>bénéficient d’une bourse de mobilité dont le montant est expliqué lors de la séance d’informations du mois de mars et détaillé lors de la signature du contrat de bourse</w:t>
            </w:r>
            <w:r w:rsidR="00B60057" w:rsidRPr="00C1102D">
              <w:t>.</w:t>
            </w:r>
          </w:p>
          <w:p w:rsidR="00EC4A9F" w:rsidRPr="00C1102D" w:rsidRDefault="00EC4A9F" w:rsidP="00867580"/>
        </w:tc>
      </w:tr>
      <w:tr w:rsidR="00C1102D" w:rsidRPr="00C1102D" w:rsidTr="00EC4A9F">
        <w:tc>
          <w:tcPr>
            <w:tcW w:w="0" w:type="auto"/>
            <w:shd w:val="clear" w:color="auto" w:fill="FFFFFF" w:themeFill="background1"/>
          </w:tcPr>
          <w:p w:rsidR="003931D4" w:rsidRPr="00C1102D" w:rsidRDefault="00867580">
            <w:r w:rsidRPr="00C1102D">
              <w:t>11.3</w:t>
            </w:r>
          </w:p>
        </w:tc>
        <w:tc>
          <w:tcPr>
            <w:tcW w:w="0" w:type="auto"/>
            <w:shd w:val="clear" w:color="auto" w:fill="FFFFFF" w:themeFill="background1"/>
          </w:tcPr>
          <w:p w:rsidR="00450558" w:rsidRPr="00C1102D" w:rsidRDefault="00867580">
            <w:r w:rsidRPr="00C1102D">
              <w:t>PAIEMENT DANS LES TEMPS IMPARTIS</w:t>
            </w:r>
          </w:p>
          <w:p w:rsidR="00450558" w:rsidRPr="00C1102D" w:rsidRDefault="00450558"/>
          <w:p w:rsidR="00450558" w:rsidRPr="00C1102D" w:rsidRDefault="00450558"/>
          <w:p w:rsidR="00450558" w:rsidRPr="00C1102D" w:rsidRDefault="00450558"/>
          <w:p w:rsidR="00450558" w:rsidRPr="00C1102D" w:rsidRDefault="00450558"/>
        </w:tc>
        <w:tc>
          <w:tcPr>
            <w:tcW w:w="0" w:type="auto"/>
            <w:shd w:val="clear" w:color="auto" w:fill="FFFFFF" w:themeFill="background1"/>
          </w:tcPr>
          <w:p w:rsidR="00450558" w:rsidRPr="00C1102D" w:rsidRDefault="00E04232">
            <w:r w:rsidRPr="00C1102D">
              <w:t>Le paiement de la bourse de mobilité se fait en deux fois (80% au moment du départ et 20% au retour) pour autant que toutes les consignes administratives et pédagogiques soient remplies</w:t>
            </w:r>
            <w:r w:rsidR="00B60057" w:rsidRPr="00C1102D">
              <w:t>.</w:t>
            </w:r>
          </w:p>
        </w:tc>
      </w:tr>
      <w:tr w:rsidR="00C1102D" w:rsidRPr="00C1102D" w:rsidTr="00EC4A9F">
        <w:tc>
          <w:tcPr>
            <w:tcW w:w="0" w:type="auto"/>
            <w:shd w:val="clear" w:color="auto" w:fill="FFFFFF" w:themeFill="background1"/>
          </w:tcPr>
          <w:p w:rsidR="00B60057" w:rsidRPr="00C1102D" w:rsidRDefault="00B60057">
            <w:r w:rsidRPr="00C1102D">
              <w:t>11.6</w:t>
            </w:r>
          </w:p>
        </w:tc>
        <w:tc>
          <w:tcPr>
            <w:tcW w:w="0" w:type="auto"/>
            <w:shd w:val="clear" w:color="auto" w:fill="FFFFFF" w:themeFill="background1"/>
          </w:tcPr>
          <w:p w:rsidR="00B60057" w:rsidRPr="00C1102D" w:rsidRDefault="00B60057">
            <w:r w:rsidRPr="00C1102D">
              <w:t>BOURSE(S) D’ETAT ET/OU REGIONALE(S)</w:t>
            </w:r>
          </w:p>
        </w:tc>
        <w:tc>
          <w:tcPr>
            <w:tcW w:w="0" w:type="auto"/>
            <w:shd w:val="clear" w:color="auto" w:fill="FFFFFF" w:themeFill="background1"/>
          </w:tcPr>
          <w:p w:rsidR="00B60057" w:rsidRPr="00C1102D" w:rsidRDefault="00B60057">
            <w:r w:rsidRPr="00C1102D">
              <w:t>Allocation d’études de la Fédération Wallonie-Bruxelles (FWB)</w:t>
            </w:r>
          </w:p>
          <w:p w:rsidR="0086632F" w:rsidRPr="00C1102D" w:rsidRDefault="0086632F"/>
        </w:tc>
      </w:tr>
    </w:tbl>
    <w:p w:rsidR="00682CC7" w:rsidRPr="00C1102D" w:rsidRDefault="00682CC7"/>
    <w:sectPr w:rsidR="00682CC7" w:rsidRPr="00C1102D" w:rsidSect="00D079A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D6" w:rsidRDefault="00C278D6" w:rsidP="00883777">
      <w:pPr>
        <w:spacing w:after="0" w:line="240" w:lineRule="auto"/>
      </w:pPr>
      <w:r>
        <w:separator/>
      </w:r>
    </w:p>
  </w:endnote>
  <w:endnote w:type="continuationSeparator" w:id="0">
    <w:p w:rsidR="00C278D6" w:rsidRDefault="00C278D6" w:rsidP="0088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391856"/>
      <w:docPartObj>
        <w:docPartGallery w:val="Page Numbers (Bottom of Page)"/>
        <w:docPartUnique/>
      </w:docPartObj>
    </w:sdtPr>
    <w:sdtEndPr/>
    <w:sdtContent>
      <w:p w:rsidR="00883777" w:rsidRDefault="00883777">
        <w:pPr>
          <w:pStyle w:val="Pieddepage"/>
        </w:pPr>
        <w:r>
          <w:fldChar w:fldCharType="begin"/>
        </w:r>
        <w:r>
          <w:instrText>PAGE   \* MERGEFORMAT</w:instrText>
        </w:r>
        <w:r>
          <w:fldChar w:fldCharType="separate"/>
        </w:r>
        <w:r w:rsidR="009D1BF0" w:rsidRPr="009D1BF0">
          <w:rPr>
            <w:noProof/>
            <w:lang w:val="fr-FR"/>
          </w:rPr>
          <w:t>3</w:t>
        </w:r>
        <w:r>
          <w:fldChar w:fldCharType="end"/>
        </w:r>
      </w:p>
    </w:sdtContent>
  </w:sdt>
  <w:p w:rsidR="00883777" w:rsidRDefault="00883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D6" w:rsidRDefault="00C278D6" w:rsidP="00883777">
      <w:pPr>
        <w:spacing w:after="0" w:line="240" w:lineRule="auto"/>
      </w:pPr>
      <w:r>
        <w:separator/>
      </w:r>
    </w:p>
  </w:footnote>
  <w:footnote w:type="continuationSeparator" w:id="0">
    <w:p w:rsidR="00C278D6" w:rsidRDefault="00C278D6" w:rsidP="00883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8"/>
    <w:rsid w:val="000B4345"/>
    <w:rsid w:val="000C2E37"/>
    <w:rsid w:val="00292732"/>
    <w:rsid w:val="003931D4"/>
    <w:rsid w:val="0039641F"/>
    <w:rsid w:val="003C6D31"/>
    <w:rsid w:val="00415001"/>
    <w:rsid w:val="00450558"/>
    <w:rsid w:val="004C34C6"/>
    <w:rsid w:val="004F0F5A"/>
    <w:rsid w:val="00517A07"/>
    <w:rsid w:val="0054548D"/>
    <w:rsid w:val="00682CC7"/>
    <w:rsid w:val="00700861"/>
    <w:rsid w:val="00733CB9"/>
    <w:rsid w:val="00734CE9"/>
    <w:rsid w:val="00800C98"/>
    <w:rsid w:val="0086632F"/>
    <w:rsid w:val="00867580"/>
    <w:rsid w:val="00883777"/>
    <w:rsid w:val="00903B43"/>
    <w:rsid w:val="00950172"/>
    <w:rsid w:val="009D1BF0"/>
    <w:rsid w:val="009E6108"/>
    <w:rsid w:val="00B60057"/>
    <w:rsid w:val="00BA6795"/>
    <w:rsid w:val="00C07F82"/>
    <w:rsid w:val="00C1102D"/>
    <w:rsid w:val="00C278D6"/>
    <w:rsid w:val="00CB7662"/>
    <w:rsid w:val="00CF2C1E"/>
    <w:rsid w:val="00D079AD"/>
    <w:rsid w:val="00D960CC"/>
    <w:rsid w:val="00DF6105"/>
    <w:rsid w:val="00E04232"/>
    <w:rsid w:val="00E13BD2"/>
    <w:rsid w:val="00EC4A9F"/>
    <w:rsid w:val="00F42F5E"/>
    <w:rsid w:val="00FF4E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D7F04-8CBD-4585-9EED-27DF8F7E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2E37"/>
    <w:rPr>
      <w:color w:val="0563C1" w:themeColor="hyperlink"/>
      <w:u w:val="single"/>
    </w:rPr>
  </w:style>
  <w:style w:type="table" w:styleId="Grilledutableau">
    <w:name w:val="Table Grid"/>
    <w:basedOn w:val="TableauNormal"/>
    <w:uiPriority w:val="39"/>
    <w:rsid w:val="0068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F0F5A"/>
    <w:pPr>
      <w:ind w:left="720"/>
      <w:contextualSpacing/>
    </w:pPr>
  </w:style>
  <w:style w:type="paragraph" w:styleId="Textedebulles">
    <w:name w:val="Balloon Text"/>
    <w:basedOn w:val="Normal"/>
    <w:link w:val="TextedebullesCar"/>
    <w:uiPriority w:val="99"/>
    <w:semiHidden/>
    <w:unhideWhenUsed/>
    <w:rsid w:val="00883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3777"/>
    <w:rPr>
      <w:rFonts w:ascii="Segoe UI" w:hAnsi="Segoe UI" w:cs="Segoe UI"/>
      <w:sz w:val="18"/>
      <w:szCs w:val="18"/>
    </w:rPr>
  </w:style>
  <w:style w:type="paragraph" w:styleId="En-tte">
    <w:name w:val="header"/>
    <w:basedOn w:val="Normal"/>
    <w:link w:val="En-tteCar"/>
    <w:uiPriority w:val="99"/>
    <w:unhideWhenUsed/>
    <w:rsid w:val="00883777"/>
    <w:pPr>
      <w:tabs>
        <w:tab w:val="center" w:pos="4536"/>
        <w:tab w:val="right" w:pos="9072"/>
      </w:tabs>
      <w:spacing w:after="0" w:line="240" w:lineRule="auto"/>
    </w:pPr>
  </w:style>
  <w:style w:type="character" w:customStyle="1" w:styleId="En-tteCar">
    <w:name w:val="En-tête Car"/>
    <w:basedOn w:val="Policepardfaut"/>
    <w:link w:val="En-tte"/>
    <w:uiPriority w:val="99"/>
    <w:rsid w:val="00883777"/>
  </w:style>
  <w:style w:type="paragraph" w:styleId="Pieddepage">
    <w:name w:val="footer"/>
    <w:basedOn w:val="Normal"/>
    <w:link w:val="PieddepageCar"/>
    <w:uiPriority w:val="99"/>
    <w:unhideWhenUsed/>
    <w:rsid w:val="008837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ch.be" TargetMode="External"/><Relationship Id="rId3" Type="http://schemas.openxmlformats.org/officeDocument/2006/relationships/settings" Target="settings.xml"/><Relationship Id="rId7" Type="http://schemas.openxmlformats.org/officeDocument/2006/relationships/hyperlink" Target="http://www.hech.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linter@hech.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B15C-D207-4CB2-8DA9-8BB63912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dc:creator>
  <cp:keywords/>
  <dc:description/>
  <cp:lastModifiedBy>Pairoux Dominique</cp:lastModifiedBy>
  <cp:revision>2</cp:revision>
  <cp:lastPrinted>2018-05-15T11:40:00Z</cp:lastPrinted>
  <dcterms:created xsi:type="dcterms:W3CDTF">2021-03-24T08:33:00Z</dcterms:created>
  <dcterms:modified xsi:type="dcterms:W3CDTF">2021-03-24T08:33:00Z</dcterms:modified>
</cp:coreProperties>
</file>