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4" w:type="pct"/>
        <w:jc w:val="center"/>
        <w:tblLook w:val="04A0" w:firstRow="1" w:lastRow="0" w:firstColumn="1" w:lastColumn="0" w:noHBand="0" w:noVBand="1"/>
      </w:tblPr>
      <w:tblGrid>
        <w:gridCol w:w="4139"/>
        <w:gridCol w:w="10081"/>
        <w:gridCol w:w="11"/>
      </w:tblGrid>
      <w:tr w:rsidR="00EE5BE1" w:rsidRPr="00CD6B77" w14:paraId="590B9FCB" w14:textId="77777777" w:rsidTr="002A4450">
        <w:trPr>
          <w:gridAfter w:val="1"/>
          <w:wAfter w:w="4" w:type="pct"/>
          <w:jc w:val="center"/>
        </w:trPr>
        <w:tc>
          <w:tcPr>
            <w:tcW w:w="4996" w:type="pct"/>
            <w:gridSpan w:val="2"/>
            <w:shd w:val="clear" w:color="auto" w:fill="E5B8B7" w:themeFill="accent2" w:themeFillTint="66"/>
          </w:tcPr>
          <w:p w14:paraId="57FA39B5" w14:textId="77777777" w:rsidR="009E0134" w:rsidRPr="008513B6" w:rsidRDefault="00820900" w:rsidP="00BD0D5C">
            <w:pPr>
              <w:jc w:val="center"/>
              <w:rPr>
                <w:b/>
                <w:color w:val="1F497D" w:themeColor="text2"/>
                <w:sz w:val="28"/>
                <w:szCs w:val="28"/>
              </w:rPr>
            </w:pPr>
            <w:r w:rsidRPr="008513B6">
              <w:rPr>
                <w:b/>
                <w:color w:val="1F497D" w:themeColor="text2"/>
                <w:sz w:val="28"/>
                <w:szCs w:val="28"/>
              </w:rPr>
              <w:t xml:space="preserve">PRINCIPES DE </w:t>
            </w:r>
            <w:r w:rsidR="009E0134" w:rsidRPr="008513B6">
              <w:rPr>
                <w:b/>
                <w:color w:val="1F497D" w:themeColor="text2"/>
                <w:sz w:val="28"/>
                <w:szCs w:val="28"/>
              </w:rPr>
              <w:t>M</w:t>
            </w:r>
            <w:r w:rsidRPr="008513B6">
              <w:rPr>
                <w:b/>
                <w:color w:val="1F497D" w:themeColor="text2"/>
                <w:sz w:val="28"/>
                <w:szCs w:val="28"/>
              </w:rPr>
              <w:t>OBILITE ACADEMIQUE</w:t>
            </w:r>
            <w:r w:rsidR="00EE5BE1" w:rsidRPr="008513B6">
              <w:rPr>
                <w:b/>
                <w:color w:val="1F497D" w:themeColor="text2"/>
                <w:sz w:val="28"/>
                <w:szCs w:val="28"/>
              </w:rPr>
              <w:t xml:space="preserve"> </w:t>
            </w:r>
            <w:r w:rsidR="00634F3E" w:rsidRPr="008513B6">
              <w:rPr>
                <w:b/>
                <w:color w:val="1F497D" w:themeColor="text2"/>
                <w:sz w:val="28"/>
                <w:szCs w:val="28"/>
              </w:rPr>
              <w:t xml:space="preserve">POUR LES ETUDIANTS OUTGOING </w:t>
            </w:r>
            <w:r w:rsidR="005B2107" w:rsidRPr="008513B6">
              <w:rPr>
                <w:b/>
                <w:color w:val="1F497D" w:themeColor="text2"/>
                <w:sz w:val="28"/>
                <w:szCs w:val="28"/>
              </w:rPr>
              <w:t>EN CATEGORIE PEDAGOGIQUE I ET II</w:t>
            </w:r>
            <w:r w:rsidR="002145F3" w:rsidRPr="008513B6">
              <w:rPr>
                <w:b/>
                <w:color w:val="1F497D" w:themeColor="text2"/>
                <w:sz w:val="28"/>
                <w:szCs w:val="28"/>
              </w:rPr>
              <w:t xml:space="preserve">  </w:t>
            </w:r>
          </w:p>
          <w:p w14:paraId="3584CA64" w14:textId="11D004D3" w:rsidR="00EE5BE1" w:rsidRPr="008513B6" w:rsidRDefault="005B2107" w:rsidP="00BD0D5C">
            <w:pPr>
              <w:jc w:val="center"/>
              <w:rPr>
                <w:b/>
                <w:color w:val="1F497D" w:themeColor="text2"/>
                <w:sz w:val="28"/>
                <w:szCs w:val="28"/>
              </w:rPr>
            </w:pPr>
            <w:r w:rsidRPr="008513B6">
              <w:rPr>
                <w:b/>
                <w:color w:val="1F497D" w:themeColor="text2"/>
                <w:sz w:val="28"/>
                <w:szCs w:val="28"/>
              </w:rPr>
              <w:t xml:space="preserve">VERSION </w:t>
            </w:r>
            <w:r w:rsidR="00321F56">
              <w:rPr>
                <w:b/>
                <w:color w:val="1F497D" w:themeColor="text2"/>
                <w:sz w:val="28"/>
                <w:szCs w:val="28"/>
              </w:rPr>
              <w:t>2021/2022</w:t>
            </w:r>
          </w:p>
          <w:p w14:paraId="42553EE9" w14:textId="77777777" w:rsidR="00782985" w:rsidRPr="008513B6" w:rsidRDefault="00782985" w:rsidP="00BD0D5C">
            <w:pPr>
              <w:jc w:val="center"/>
              <w:rPr>
                <w:b/>
                <w:color w:val="1F497D" w:themeColor="text2"/>
                <w:sz w:val="28"/>
                <w:szCs w:val="28"/>
              </w:rPr>
            </w:pPr>
            <w:r w:rsidRPr="008513B6">
              <w:rPr>
                <w:b/>
                <w:color w:val="1F497D" w:themeColor="text2"/>
                <w:sz w:val="28"/>
                <w:szCs w:val="28"/>
              </w:rPr>
              <w:t>DECRET PAYSAGE</w:t>
            </w:r>
          </w:p>
          <w:p w14:paraId="5B5B4FA7" w14:textId="77777777" w:rsidR="00EE5BE1" w:rsidRPr="00EE5BE1" w:rsidRDefault="00EE5BE1" w:rsidP="0000559E">
            <w:pPr>
              <w:jc w:val="center"/>
              <w:rPr>
                <w:b/>
              </w:rPr>
            </w:pPr>
          </w:p>
        </w:tc>
      </w:tr>
      <w:tr w:rsidR="009F2882" w:rsidRPr="0090132B" w14:paraId="1B6B0259" w14:textId="77777777" w:rsidTr="002A4450">
        <w:trPr>
          <w:trHeight w:val="737"/>
          <w:jc w:val="center"/>
        </w:trPr>
        <w:tc>
          <w:tcPr>
            <w:tcW w:w="1454" w:type="pct"/>
            <w:tcBorders>
              <w:bottom w:val="single" w:sz="4" w:space="0" w:color="auto"/>
            </w:tcBorders>
            <w:shd w:val="clear" w:color="auto" w:fill="C2D69B" w:themeFill="accent3" w:themeFillTint="99"/>
            <w:vAlign w:val="center"/>
          </w:tcPr>
          <w:p w14:paraId="2DFE1EB1" w14:textId="77777777" w:rsidR="00647021" w:rsidRDefault="002145F3" w:rsidP="0082797E">
            <w:pPr>
              <w:jc w:val="center"/>
              <w:rPr>
                <w:rFonts w:cs="Andalus"/>
                <w:sz w:val="28"/>
                <w:szCs w:val="28"/>
              </w:rPr>
            </w:pPr>
            <w:r w:rsidRPr="00A81E3D">
              <w:rPr>
                <w:rFonts w:cs="Andalus"/>
                <w:sz w:val="28"/>
                <w:szCs w:val="28"/>
              </w:rPr>
              <w:t>Section</w:t>
            </w:r>
            <w:r w:rsidR="000E2DB6" w:rsidRPr="00A81E3D">
              <w:rPr>
                <w:rFonts w:cs="Andalus"/>
                <w:sz w:val="28"/>
                <w:szCs w:val="28"/>
              </w:rPr>
              <w:t>s</w:t>
            </w:r>
            <w:r w:rsidRPr="00A81E3D">
              <w:rPr>
                <w:rFonts w:cs="Andalus"/>
                <w:sz w:val="28"/>
                <w:szCs w:val="28"/>
              </w:rPr>
              <w:t xml:space="preserve"> PP/PS</w:t>
            </w:r>
            <w:r w:rsidR="001A75DC" w:rsidRPr="00A81E3D">
              <w:rPr>
                <w:rFonts w:cs="Andalus"/>
                <w:sz w:val="28"/>
                <w:szCs w:val="28"/>
              </w:rPr>
              <w:t>/SNS</w:t>
            </w:r>
            <w:r w:rsidR="00647021">
              <w:rPr>
                <w:rFonts w:cs="Andalus"/>
                <w:sz w:val="28"/>
                <w:szCs w:val="28"/>
              </w:rPr>
              <w:t>/</w:t>
            </w:r>
          </w:p>
          <w:p w14:paraId="08EC2E04" w14:textId="77777777" w:rsidR="009F2882" w:rsidRPr="0090132B" w:rsidRDefault="00647021" w:rsidP="0082797E">
            <w:pPr>
              <w:jc w:val="center"/>
              <w:rPr>
                <w:rFonts w:cs="Andalus"/>
                <w:b/>
              </w:rPr>
            </w:pPr>
            <w:r>
              <w:rPr>
                <w:rFonts w:cs="Andalus"/>
                <w:sz w:val="28"/>
                <w:szCs w:val="28"/>
              </w:rPr>
              <w:t>Educateurs spécialisés</w:t>
            </w:r>
          </w:p>
        </w:tc>
        <w:tc>
          <w:tcPr>
            <w:tcW w:w="3546" w:type="pct"/>
            <w:gridSpan w:val="2"/>
            <w:shd w:val="clear" w:color="auto" w:fill="C2D69B" w:themeFill="accent3" w:themeFillTint="99"/>
            <w:vAlign w:val="center"/>
          </w:tcPr>
          <w:p w14:paraId="67AE0E64" w14:textId="77777777" w:rsidR="009F2882" w:rsidRPr="00A81E3D" w:rsidRDefault="00352F51" w:rsidP="0082797E">
            <w:pPr>
              <w:jc w:val="center"/>
              <w:rPr>
                <w:sz w:val="28"/>
                <w:szCs w:val="28"/>
              </w:rPr>
            </w:pPr>
            <w:r>
              <w:rPr>
                <w:sz w:val="28"/>
                <w:szCs w:val="28"/>
              </w:rPr>
              <w:t xml:space="preserve">Mobilité au </w:t>
            </w:r>
            <w:r w:rsidR="000C44D5">
              <w:rPr>
                <w:sz w:val="28"/>
                <w:szCs w:val="28"/>
              </w:rPr>
              <w:t>Bloc 3</w:t>
            </w:r>
            <w:r w:rsidR="003B1F62">
              <w:rPr>
                <w:sz w:val="28"/>
                <w:szCs w:val="28"/>
              </w:rPr>
              <w:t xml:space="preserve"> uniquement</w:t>
            </w:r>
          </w:p>
        </w:tc>
      </w:tr>
      <w:tr w:rsidR="00D77D1D" w:rsidRPr="0090132B" w14:paraId="5985F302" w14:textId="77777777" w:rsidTr="002A4450">
        <w:trPr>
          <w:trHeight w:val="737"/>
          <w:jc w:val="center"/>
        </w:trPr>
        <w:tc>
          <w:tcPr>
            <w:tcW w:w="1454" w:type="pct"/>
            <w:shd w:val="clear" w:color="auto" w:fill="D6E3BC" w:themeFill="accent3" w:themeFillTint="66"/>
            <w:vAlign w:val="center"/>
          </w:tcPr>
          <w:p w14:paraId="7345D902" w14:textId="77777777" w:rsidR="00D77D1D" w:rsidRPr="0090132B" w:rsidRDefault="007142F2" w:rsidP="0082797E">
            <w:pPr>
              <w:jc w:val="center"/>
              <w:rPr>
                <w:rFonts w:cs="Andalus"/>
              </w:rPr>
            </w:pPr>
            <w:r>
              <w:rPr>
                <w:rFonts w:cs="Andalus"/>
              </w:rPr>
              <w:t>Contact avec ta coordinatrice départementale</w:t>
            </w:r>
            <w:r w:rsidR="00550C25">
              <w:rPr>
                <w:rFonts w:cs="Andalus"/>
              </w:rPr>
              <w:t xml:space="preserve"> pédagogique (CP)</w:t>
            </w:r>
          </w:p>
        </w:tc>
        <w:tc>
          <w:tcPr>
            <w:tcW w:w="3546" w:type="pct"/>
            <w:gridSpan w:val="2"/>
          </w:tcPr>
          <w:p w14:paraId="59A32945" w14:textId="77777777" w:rsidR="00A85256" w:rsidRDefault="002D206B" w:rsidP="00DD115B">
            <w:pPr>
              <w:rPr>
                <w:rFonts w:cs="Andalus"/>
              </w:rPr>
            </w:pPr>
            <w:r>
              <w:rPr>
                <w:rFonts w:cs="Andalus"/>
              </w:rPr>
              <w:t>Ta coordinatrice</w:t>
            </w:r>
            <w:r w:rsidR="00ED68F1">
              <w:rPr>
                <w:rFonts w:cs="Andalus"/>
              </w:rPr>
              <w:t xml:space="preserve">, Sylvie Poizat, est joignable </w:t>
            </w:r>
            <w:r>
              <w:rPr>
                <w:rFonts w:cs="Andalus"/>
              </w:rPr>
              <w:t>pour tout problème pédagogique avant et pendant ton séjour à l’étranger</w:t>
            </w:r>
            <w:r w:rsidR="00ED68F1">
              <w:rPr>
                <w:rFonts w:cs="Andalus"/>
              </w:rPr>
              <w:t xml:space="preserve"> via l’adresse </w:t>
            </w:r>
            <w:hyperlink r:id="rId8" w:history="1">
              <w:r w:rsidR="00ED68F1" w:rsidRPr="000106F6">
                <w:rPr>
                  <w:rStyle w:val="Lienhypertexte"/>
                  <w:rFonts w:cs="Andalus"/>
                </w:rPr>
                <w:t>sylvie.poizat@hech.be</w:t>
              </w:r>
            </w:hyperlink>
          </w:p>
          <w:p w14:paraId="63732C88" w14:textId="77777777" w:rsidR="00A85256" w:rsidRDefault="006608AE" w:rsidP="00DD115B">
            <w:pPr>
              <w:rPr>
                <w:rFonts w:cs="Andalus"/>
              </w:rPr>
            </w:pPr>
            <w:r>
              <w:rPr>
                <w:rFonts w:cs="Andalus"/>
              </w:rPr>
              <w:t>Pour toute question d’ordre administratif, tu peux contacter Dominique Pair</w:t>
            </w:r>
            <w:r w:rsidR="00DF5C78">
              <w:rPr>
                <w:rFonts w:cs="Andalus"/>
              </w:rPr>
              <w:t>oux via</w:t>
            </w:r>
            <w:r w:rsidR="00DD115B">
              <w:rPr>
                <w:rFonts w:cs="Andalus"/>
              </w:rPr>
              <w:t xml:space="preserve"> l’adresse</w:t>
            </w:r>
            <w:r w:rsidR="00DF5C78">
              <w:rPr>
                <w:rFonts w:cs="Andalus"/>
              </w:rPr>
              <w:t xml:space="preserve">  </w:t>
            </w:r>
            <w:hyperlink r:id="rId9" w:history="1">
              <w:r w:rsidR="00DF5C78" w:rsidRPr="000106F6">
                <w:rPr>
                  <w:rStyle w:val="Lienhypertexte"/>
                  <w:rFonts w:cs="Andalus"/>
                </w:rPr>
                <w:t>relinter@hech.be</w:t>
              </w:r>
            </w:hyperlink>
            <w:r w:rsidR="00A85256">
              <w:rPr>
                <w:rFonts w:cs="Andalus"/>
              </w:rPr>
              <w:t> .</w:t>
            </w:r>
          </w:p>
          <w:p w14:paraId="54804FE5" w14:textId="77777777" w:rsidR="002D206B" w:rsidRPr="0090132B" w:rsidRDefault="00A85256" w:rsidP="00FF72D3">
            <w:pPr>
              <w:rPr>
                <w:rFonts w:cs="Andalus"/>
              </w:rPr>
            </w:pPr>
            <w:r>
              <w:rPr>
                <w:rFonts w:cs="Andalus"/>
              </w:rPr>
              <w:t>L</w:t>
            </w:r>
            <w:r w:rsidR="000D7318">
              <w:rPr>
                <w:rFonts w:cs="Andalus"/>
              </w:rPr>
              <w:t>e lien Internet suivant</w:t>
            </w:r>
            <w:r w:rsidR="003873D8">
              <w:rPr>
                <w:rFonts w:cs="Andalus"/>
              </w:rPr>
              <w:t xml:space="preserve"> </w:t>
            </w:r>
            <w:hyperlink r:id="rId10" w:history="1">
              <w:r w:rsidR="00FF72D3" w:rsidRPr="00962108">
                <w:rPr>
                  <w:rStyle w:val="Lienhypertexte"/>
                  <w:rFonts w:cs="Andalus"/>
                </w:rPr>
                <w:t>https://www.hech.be/fr/nos-services/relations-internationales</w:t>
              </w:r>
            </w:hyperlink>
            <w:r w:rsidR="00FF72D3">
              <w:rPr>
                <w:rFonts w:cs="Andalus"/>
              </w:rPr>
              <w:t xml:space="preserve">, partie Etudiant OUT, </w:t>
            </w:r>
            <w:r w:rsidR="00791C25">
              <w:rPr>
                <w:rFonts w:cs="Andalus"/>
              </w:rPr>
              <w:t xml:space="preserve"> t’apportera de nombreuses informations essentielles…n’hésite pas à le consulter régulièrement !</w:t>
            </w:r>
          </w:p>
        </w:tc>
      </w:tr>
      <w:tr w:rsidR="00E30A24" w:rsidRPr="0090132B" w14:paraId="27508A89" w14:textId="77777777" w:rsidTr="00ED68F1">
        <w:trPr>
          <w:trHeight w:val="452"/>
          <w:jc w:val="center"/>
        </w:trPr>
        <w:tc>
          <w:tcPr>
            <w:tcW w:w="1454" w:type="pct"/>
            <w:shd w:val="clear" w:color="auto" w:fill="D6E3BC" w:themeFill="accent3" w:themeFillTint="66"/>
            <w:vAlign w:val="center"/>
          </w:tcPr>
          <w:p w14:paraId="02C8865F" w14:textId="77777777" w:rsidR="00E30A24" w:rsidRPr="0090132B" w:rsidRDefault="00E30A24" w:rsidP="0082797E">
            <w:pPr>
              <w:jc w:val="center"/>
              <w:rPr>
                <w:rFonts w:cs="Andalus"/>
              </w:rPr>
            </w:pPr>
            <w:r w:rsidRPr="0090132B">
              <w:rPr>
                <w:rFonts w:cs="Andalus"/>
              </w:rPr>
              <w:t>Durée de la mobilité académique</w:t>
            </w:r>
          </w:p>
        </w:tc>
        <w:tc>
          <w:tcPr>
            <w:tcW w:w="3546" w:type="pct"/>
            <w:gridSpan w:val="2"/>
            <w:vAlign w:val="center"/>
          </w:tcPr>
          <w:p w14:paraId="61D79A8A" w14:textId="13D5EB18" w:rsidR="00E30A24" w:rsidRPr="0090132B" w:rsidRDefault="00E30A24" w:rsidP="0069280C">
            <w:pPr>
              <w:jc w:val="center"/>
              <w:rPr>
                <w:rFonts w:cs="Andalus"/>
              </w:rPr>
            </w:pPr>
            <w:r w:rsidRPr="0090132B">
              <w:rPr>
                <w:rFonts w:cs="Andalus"/>
              </w:rPr>
              <w:t xml:space="preserve">1 </w:t>
            </w:r>
            <w:r w:rsidR="0069280C">
              <w:rPr>
                <w:rFonts w:cs="Andalus"/>
              </w:rPr>
              <w:t>a</w:t>
            </w:r>
            <w:r w:rsidRPr="0090132B">
              <w:rPr>
                <w:rFonts w:cs="Andalus"/>
              </w:rPr>
              <w:t xml:space="preserve">n – 60 </w:t>
            </w:r>
            <w:r w:rsidR="00016073">
              <w:rPr>
                <w:rFonts w:cs="Andalus"/>
              </w:rPr>
              <w:t>crédits</w:t>
            </w:r>
            <w:r w:rsidR="00125B05" w:rsidRPr="0090132B">
              <w:rPr>
                <w:rFonts w:cs="Andalus"/>
              </w:rPr>
              <w:t xml:space="preserve"> </w:t>
            </w:r>
            <w:r w:rsidR="009A17F2">
              <w:rPr>
                <w:rFonts w:cs="Andalus"/>
              </w:rPr>
              <w:t xml:space="preserve"> ou un </w:t>
            </w:r>
            <w:r w:rsidR="0092578C">
              <w:rPr>
                <w:rFonts w:cs="Andalus"/>
              </w:rPr>
              <w:t xml:space="preserve">quadrimestre </w:t>
            </w:r>
            <w:r w:rsidR="00016073">
              <w:rPr>
                <w:rFonts w:cs="Andalus"/>
              </w:rPr>
              <w:t>– 30 crédits</w:t>
            </w:r>
          </w:p>
        </w:tc>
      </w:tr>
      <w:tr w:rsidR="00841553" w:rsidRPr="0090132B" w14:paraId="45975EB5" w14:textId="77777777" w:rsidTr="00C86AB2">
        <w:trPr>
          <w:trHeight w:val="737"/>
          <w:jc w:val="center"/>
        </w:trPr>
        <w:tc>
          <w:tcPr>
            <w:tcW w:w="1454" w:type="pct"/>
            <w:tcBorders>
              <w:bottom w:val="single" w:sz="4" w:space="0" w:color="auto"/>
            </w:tcBorders>
            <w:shd w:val="clear" w:color="auto" w:fill="D6E3BC" w:themeFill="accent3" w:themeFillTint="66"/>
            <w:vAlign w:val="center"/>
          </w:tcPr>
          <w:p w14:paraId="57DF718D" w14:textId="77777777" w:rsidR="00841553" w:rsidRPr="000A5B97" w:rsidRDefault="00841553" w:rsidP="0082797E">
            <w:pPr>
              <w:jc w:val="center"/>
            </w:pPr>
            <w:r w:rsidRPr="000A5B97">
              <w:t>Statut de l’étudiant en Mobilité – paiement des frais d’inscription et frais scolaires divers</w:t>
            </w:r>
          </w:p>
        </w:tc>
        <w:tc>
          <w:tcPr>
            <w:tcW w:w="3546" w:type="pct"/>
            <w:gridSpan w:val="2"/>
            <w:tcBorders>
              <w:bottom w:val="single" w:sz="4" w:space="0" w:color="auto"/>
            </w:tcBorders>
          </w:tcPr>
          <w:p w14:paraId="32140883" w14:textId="77777777" w:rsidR="00841553" w:rsidRDefault="00841553" w:rsidP="00B5398A">
            <w:r w:rsidRPr="000A5B97">
              <w:t>L’</w:t>
            </w:r>
            <w:r w:rsidR="00FF72D3">
              <w:t>étudiant reste étudiant de la HE</w:t>
            </w:r>
            <w:r w:rsidRPr="000A5B97">
              <w:t>C</w:t>
            </w:r>
            <w:r w:rsidR="00791C25">
              <w:t xml:space="preserve">h </w:t>
            </w:r>
            <w:r w:rsidR="00D608FF">
              <w:t>et paie son droit d’inscription</w:t>
            </w:r>
            <w:r w:rsidR="00DF37CB">
              <w:t xml:space="preserve"> à la </w:t>
            </w:r>
            <w:r w:rsidR="00FF72D3">
              <w:t>HE</w:t>
            </w:r>
            <w:r w:rsidR="00DF37CB">
              <w:t>Ch</w:t>
            </w:r>
            <w:r w:rsidRPr="000A5B97">
              <w:t>. Il doit par ailleurs effectuer les démarches d’inscription dans l’institution d’accueil, en respectant scrupuleusement les délais (génér</w:t>
            </w:r>
            <w:r w:rsidR="00D32B76">
              <w:t>alement entre le 15 mai et le 15</w:t>
            </w:r>
            <w:r w:rsidRPr="000A5B97">
              <w:t xml:space="preserve"> juin). Des frais liés aux activités pédagogiques durant le séjour peuvent éventuellement être réclamés à l’étudiant (notes de cours, visites…)</w:t>
            </w:r>
            <w:r w:rsidR="00D608FF">
              <w:t>.</w:t>
            </w:r>
          </w:p>
        </w:tc>
      </w:tr>
      <w:tr w:rsidR="00E30A24" w:rsidRPr="0090132B" w14:paraId="267B097A" w14:textId="77777777" w:rsidTr="00C86AB2">
        <w:trPr>
          <w:trHeight w:val="567"/>
          <w:jc w:val="center"/>
        </w:trPr>
        <w:tc>
          <w:tcPr>
            <w:tcW w:w="1454" w:type="pct"/>
            <w:tcBorders>
              <w:bottom w:val="single" w:sz="4" w:space="0" w:color="auto"/>
            </w:tcBorders>
            <w:shd w:val="clear" w:color="auto" w:fill="D6E3BC" w:themeFill="accent3" w:themeFillTint="66"/>
            <w:vAlign w:val="center"/>
          </w:tcPr>
          <w:p w14:paraId="5B192CC7" w14:textId="77777777" w:rsidR="00E30A24" w:rsidRPr="0090132B" w:rsidRDefault="00E30A24" w:rsidP="0082797E">
            <w:pPr>
              <w:jc w:val="center"/>
              <w:rPr>
                <w:rFonts w:cs="Andalus"/>
              </w:rPr>
            </w:pPr>
            <w:r w:rsidRPr="0090132B">
              <w:rPr>
                <w:rFonts w:cs="Andalus"/>
              </w:rPr>
              <w:t xml:space="preserve">Sélection </w:t>
            </w:r>
            <w:r w:rsidR="00731477">
              <w:rPr>
                <w:rFonts w:cs="Andalus"/>
              </w:rPr>
              <w:t>des étudiants candidats</w:t>
            </w:r>
          </w:p>
        </w:tc>
        <w:tc>
          <w:tcPr>
            <w:tcW w:w="3546" w:type="pct"/>
            <w:gridSpan w:val="2"/>
            <w:tcBorders>
              <w:bottom w:val="single" w:sz="4" w:space="0" w:color="auto"/>
            </w:tcBorders>
          </w:tcPr>
          <w:p w14:paraId="6FD7C520" w14:textId="77777777" w:rsidR="00306D80" w:rsidRPr="000D1E50" w:rsidRDefault="00306D80" w:rsidP="0016444C">
            <w:pPr>
              <w:rPr>
                <w:rFonts w:cs="Andalus"/>
                <w:b/>
              </w:rPr>
            </w:pPr>
            <w:r w:rsidRPr="000D1E50">
              <w:rPr>
                <w:rFonts w:cs="Andalus"/>
                <w:b/>
              </w:rPr>
              <w:t xml:space="preserve">Une seule mobilité </w:t>
            </w:r>
            <w:r w:rsidRPr="000D1E50">
              <w:rPr>
                <w:rFonts w:cs="Andalus"/>
                <w:b/>
                <w:i/>
              </w:rPr>
              <w:t>académique</w:t>
            </w:r>
            <w:r w:rsidRPr="000D1E50">
              <w:rPr>
                <w:rFonts w:cs="Andalus"/>
                <w:b/>
              </w:rPr>
              <w:t xml:space="preserve"> est autorisée par cycle d’études.</w:t>
            </w:r>
          </w:p>
          <w:p w14:paraId="43B25FF9" w14:textId="0674D783" w:rsidR="006823E3" w:rsidRPr="0045468C" w:rsidRDefault="001D2CC9" w:rsidP="0016444C">
            <w:pPr>
              <w:rPr>
                <w:rFonts w:cs="Andalus"/>
              </w:rPr>
            </w:pPr>
            <w:r w:rsidRPr="000D1E50">
              <w:rPr>
                <w:rFonts w:cs="Andalus"/>
                <w:b/>
              </w:rPr>
              <w:t>L</w:t>
            </w:r>
            <w:r w:rsidRPr="000D1E50">
              <w:rPr>
                <w:rFonts w:eastAsia="Times New Roman"/>
                <w:b/>
                <w:color w:val="000000"/>
              </w:rPr>
              <w:t>a mobilité sera conditionnée par la validation de tous les crédits du programme annuel de l’étudiant de l’année académique qui précède</w:t>
            </w:r>
            <w:r w:rsidR="00A27FCF" w:rsidRPr="000D1E50">
              <w:rPr>
                <w:rFonts w:eastAsia="Times New Roman"/>
                <w:b/>
                <w:color w:val="000000"/>
              </w:rPr>
              <w:t>,</w:t>
            </w:r>
            <w:r w:rsidRPr="000D1E50">
              <w:rPr>
                <w:rFonts w:eastAsia="Times New Roman"/>
                <w:b/>
                <w:color w:val="000000"/>
              </w:rPr>
              <w:t xml:space="preserve"> sauf situation particulière dûment circonstanciée </w:t>
            </w:r>
            <w:r w:rsidR="00A27FCF" w:rsidRPr="000D1E50">
              <w:rPr>
                <w:rFonts w:eastAsia="Times New Roman"/>
                <w:b/>
                <w:color w:val="000000"/>
              </w:rPr>
              <w:t>et appréciée par le Collège de D</w:t>
            </w:r>
            <w:r w:rsidRPr="000D1E50">
              <w:rPr>
                <w:rFonts w:eastAsia="Times New Roman"/>
                <w:b/>
                <w:color w:val="000000"/>
              </w:rPr>
              <w:t>irection.</w:t>
            </w:r>
            <w:r w:rsidR="001E083C">
              <w:rPr>
                <w:rFonts w:eastAsia="Times New Roman"/>
                <w:color w:val="000000"/>
              </w:rPr>
              <w:t xml:space="preserve"> En bref, l’étudiant issu de la catégorie pédagogique </w:t>
            </w:r>
            <w:r w:rsidR="001E083C" w:rsidRPr="001E083C">
              <w:rPr>
                <w:rFonts w:eastAsia="Times New Roman"/>
                <w:color w:val="000000"/>
                <w:u w:val="single"/>
              </w:rPr>
              <w:t>part en mobilité</w:t>
            </w:r>
            <w:r w:rsidR="00A27FCF">
              <w:rPr>
                <w:rFonts w:eastAsia="Times New Roman"/>
                <w:color w:val="000000"/>
                <w:u w:val="single"/>
              </w:rPr>
              <w:t xml:space="preserve"> au bloc 3</w:t>
            </w:r>
            <w:r w:rsidR="001E083C">
              <w:rPr>
                <w:rFonts w:eastAsia="Times New Roman"/>
                <w:color w:val="000000"/>
              </w:rPr>
              <w:t xml:space="preserve"> avec </w:t>
            </w:r>
            <w:r w:rsidR="00016073">
              <w:rPr>
                <w:rFonts w:eastAsia="Times New Roman"/>
                <w:color w:val="000000"/>
                <w:u w:val="single"/>
              </w:rPr>
              <w:t xml:space="preserve">120 crédits </w:t>
            </w:r>
            <w:r w:rsidR="001E083C">
              <w:rPr>
                <w:rFonts w:eastAsia="Times New Roman"/>
                <w:color w:val="000000"/>
                <w:u w:val="single"/>
              </w:rPr>
              <w:t>validés</w:t>
            </w:r>
            <w:r w:rsidR="0045468C">
              <w:rPr>
                <w:rFonts w:eastAsia="Times New Roman"/>
                <w:color w:val="000000"/>
              </w:rPr>
              <w:t>.</w:t>
            </w:r>
          </w:p>
          <w:p w14:paraId="2D18BD55" w14:textId="77777777" w:rsidR="000D1E50" w:rsidRDefault="00731477" w:rsidP="0099501F">
            <w:pPr>
              <w:rPr>
                <w:rFonts w:cs="Andalus"/>
              </w:rPr>
            </w:pPr>
            <w:r w:rsidRPr="0090132B">
              <w:rPr>
                <w:rFonts w:cs="Andalus"/>
              </w:rPr>
              <w:t xml:space="preserve">Les notes </w:t>
            </w:r>
            <w:r>
              <w:rPr>
                <w:rFonts w:cs="Andalus"/>
              </w:rPr>
              <w:t xml:space="preserve">obtenues </w:t>
            </w:r>
            <w:r w:rsidRPr="0090132B">
              <w:rPr>
                <w:rFonts w:cs="Andalus"/>
              </w:rPr>
              <w:t>aux examens de janvier de l’année académique qui précède le départ</w:t>
            </w:r>
            <w:r>
              <w:rPr>
                <w:rFonts w:cs="Andalus"/>
              </w:rPr>
              <w:t xml:space="preserve"> sont le critère de </w:t>
            </w:r>
            <w:r w:rsidRPr="0090132B">
              <w:rPr>
                <w:rFonts w:cs="Andalus"/>
              </w:rPr>
              <w:t>sélection</w:t>
            </w:r>
            <w:r>
              <w:rPr>
                <w:rFonts w:cs="Andalus"/>
              </w:rPr>
              <w:t xml:space="preserve"> en cas de concurrence pour une même destination</w:t>
            </w:r>
            <w:r w:rsidR="0099501F">
              <w:rPr>
                <w:rFonts w:cs="Andalus"/>
              </w:rPr>
              <w:t xml:space="preserve"> (échec/pas d’échec, puis moyenne).</w:t>
            </w:r>
            <w:r w:rsidR="00AE5E86">
              <w:rPr>
                <w:rFonts w:cs="Andalus"/>
              </w:rPr>
              <w:t xml:space="preserve"> </w:t>
            </w:r>
          </w:p>
          <w:p w14:paraId="2924329B" w14:textId="34FD9F86" w:rsidR="00C86AB2" w:rsidRDefault="000D1E50" w:rsidP="0099501F">
            <w:pPr>
              <w:rPr>
                <w:rFonts w:cs="Andalus"/>
              </w:rPr>
            </w:pPr>
            <w:r>
              <w:rPr>
                <w:rFonts w:cs="Andalus"/>
              </w:rPr>
              <w:t>Quelques partenaires du département pédagogique procèdent à une rentrée académique antérieure au 14/09 ; un séjour au Canada engendre par ailleurs des démarches administratives longues et fastidieuses</w:t>
            </w:r>
            <w:r w:rsidR="00C86AB2">
              <w:rPr>
                <w:rFonts w:cs="Andalus"/>
              </w:rPr>
              <w:t xml:space="preserve"> (avec des frais à la clé), et est donc inaccessible à des étudiants ayant enregistré un ou plusi</w:t>
            </w:r>
            <w:r w:rsidR="00016073">
              <w:rPr>
                <w:rFonts w:cs="Andalus"/>
              </w:rPr>
              <w:t>eurs échecs en janvier (bloc 2).</w:t>
            </w:r>
          </w:p>
          <w:p w14:paraId="6CB63E25" w14:textId="77777777" w:rsidR="00E30A24" w:rsidRPr="0090132B" w:rsidRDefault="00AE5E86" w:rsidP="0099501F">
            <w:pPr>
              <w:rPr>
                <w:rFonts w:cs="Andalus"/>
              </w:rPr>
            </w:pPr>
            <w:r>
              <w:rPr>
                <w:rFonts w:cs="Andalus"/>
              </w:rPr>
              <w:t>L’étudiant est informé par courriel de sa sélection et de sa destination pour le 1</w:t>
            </w:r>
            <w:r w:rsidRPr="00AE5E86">
              <w:rPr>
                <w:rFonts w:cs="Andalus"/>
                <w:vertAlign w:val="superscript"/>
              </w:rPr>
              <w:t>er</w:t>
            </w:r>
            <w:r>
              <w:rPr>
                <w:rFonts w:cs="Andalus"/>
              </w:rPr>
              <w:t xml:space="preserve"> mars de l’année qui précède sa mobilité. L’étudiant doit </w:t>
            </w:r>
            <w:r w:rsidRPr="00AE5E86">
              <w:rPr>
                <w:rFonts w:cs="Andalus"/>
                <w:b/>
              </w:rPr>
              <w:t>obligatoirement confirmer</w:t>
            </w:r>
            <w:r>
              <w:rPr>
                <w:rFonts w:cs="Andalus"/>
              </w:rPr>
              <w:t xml:space="preserve"> par courriel sa volonté de partir en mobilité et de s’engager dans les démarches administratives qui vont suivre, sans quoi le BRI clôture son dossier à ce stade.</w:t>
            </w:r>
          </w:p>
        </w:tc>
      </w:tr>
    </w:tbl>
    <w:tbl>
      <w:tblPr>
        <w:tblStyle w:val="Grilledutableau1"/>
        <w:tblW w:w="5002" w:type="pct"/>
        <w:tblInd w:w="0" w:type="dxa"/>
        <w:tblLook w:val="04A0" w:firstRow="1" w:lastRow="0" w:firstColumn="1" w:lastColumn="0" w:noHBand="0" w:noVBand="1"/>
      </w:tblPr>
      <w:tblGrid>
        <w:gridCol w:w="4134"/>
        <w:gridCol w:w="10092"/>
      </w:tblGrid>
      <w:tr w:rsidR="00E33200" w14:paraId="786B2980" w14:textId="77777777" w:rsidTr="00E33200">
        <w:trPr>
          <w:trHeight w:val="1474"/>
        </w:trPr>
        <w:tc>
          <w:tcPr>
            <w:tcW w:w="1453"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92766DC" w14:textId="77777777" w:rsidR="002A4450" w:rsidRPr="002A4450" w:rsidRDefault="002A4450" w:rsidP="00505295">
            <w:pPr>
              <w:jc w:val="center"/>
              <w:rPr>
                <w:rFonts w:cs="Andalus"/>
                <w:lang w:val="fr-FR"/>
              </w:rPr>
            </w:pPr>
            <w:r w:rsidRPr="002A4450">
              <w:rPr>
                <w:rFonts w:cs="Andalus"/>
                <w:lang w:val="fr-FR"/>
              </w:rPr>
              <w:lastRenderedPageBreak/>
              <w:t xml:space="preserve">Réunion </w:t>
            </w:r>
            <w:r w:rsidR="0092578C" w:rsidRPr="0092578C">
              <w:rPr>
                <w:rFonts w:cs="Andalus"/>
                <w:b/>
                <w:lang w:val="fr-FR"/>
              </w:rPr>
              <w:t>obligatoire</w:t>
            </w:r>
            <w:r w:rsidR="0092578C">
              <w:rPr>
                <w:rFonts w:cs="Andalus"/>
                <w:lang w:val="fr-FR"/>
              </w:rPr>
              <w:t xml:space="preserve"> </w:t>
            </w:r>
            <w:r w:rsidRPr="002A4450">
              <w:rPr>
                <w:rFonts w:cs="Andalus"/>
                <w:lang w:val="fr-FR"/>
              </w:rPr>
              <w:t>briefing administratif et pédagogique et attribution des destinations</w:t>
            </w:r>
          </w:p>
        </w:tc>
        <w:tc>
          <w:tcPr>
            <w:tcW w:w="3547" w:type="pct"/>
            <w:tcBorders>
              <w:top w:val="single" w:sz="4" w:space="0" w:color="auto"/>
              <w:left w:val="single" w:sz="4" w:space="0" w:color="auto"/>
              <w:bottom w:val="single" w:sz="4" w:space="0" w:color="auto"/>
              <w:right w:val="single" w:sz="4" w:space="0" w:color="auto"/>
            </w:tcBorders>
            <w:hideMark/>
          </w:tcPr>
          <w:p w14:paraId="57A1E215" w14:textId="77777777" w:rsidR="002A4450" w:rsidRPr="002A4450" w:rsidRDefault="00AE5E86" w:rsidP="00505295">
            <w:pPr>
              <w:rPr>
                <w:rFonts w:cs="Andalus"/>
                <w:lang w:val="fr-FR"/>
              </w:rPr>
            </w:pPr>
            <w:r>
              <w:rPr>
                <w:rFonts w:cs="Andalus"/>
                <w:lang w:val="fr-FR"/>
              </w:rPr>
              <w:t xml:space="preserve">Dans le courant du mois de mars, </w:t>
            </w:r>
            <w:r w:rsidR="002A4450" w:rsidRPr="002A4450">
              <w:rPr>
                <w:rFonts w:cs="Andalus"/>
                <w:lang w:val="fr-FR"/>
              </w:rPr>
              <w:t xml:space="preserve">Dominique Pairoux (en charge de la gestion administrative et financière des programmes de mobilité) et </w:t>
            </w:r>
            <w:r w:rsidR="00505295">
              <w:rPr>
                <w:rFonts w:cs="Andalus"/>
                <w:lang w:val="fr-FR"/>
              </w:rPr>
              <w:t>Sylvie Poizat</w:t>
            </w:r>
            <w:r w:rsidR="00FF72D3">
              <w:rPr>
                <w:rFonts w:cs="Andalus"/>
                <w:lang w:val="fr-FR"/>
              </w:rPr>
              <w:t xml:space="preserve"> (Coordinatrice pédagogique</w:t>
            </w:r>
            <w:r w:rsidR="002A4450" w:rsidRPr="002A4450">
              <w:rPr>
                <w:rFonts w:cs="Andalus"/>
                <w:lang w:val="fr-FR"/>
              </w:rPr>
              <w:t xml:space="preserve"> Eras</w:t>
            </w:r>
            <w:r w:rsidR="00FF72D3">
              <w:rPr>
                <w:rFonts w:cs="Andalus"/>
                <w:lang w:val="fr-FR"/>
              </w:rPr>
              <w:t>mus pour le Département</w:t>
            </w:r>
            <w:r w:rsidR="00176A24">
              <w:rPr>
                <w:rFonts w:cs="Andalus"/>
                <w:lang w:val="fr-FR"/>
              </w:rPr>
              <w:t xml:space="preserve"> </w:t>
            </w:r>
            <w:r w:rsidR="00505295">
              <w:rPr>
                <w:rFonts w:cs="Andalus"/>
                <w:lang w:val="fr-FR"/>
              </w:rPr>
              <w:t>pédagogique</w:t>
            </w:r>
            <w:r w:rsidR="002A4450" w:rsidRPr="002A4450">
              <w:rPr>
                <w:rFonts w:cs="Andalus"/>
                <w:lang w:val="fr-FR"/>
              </w:rPr>
              <w:t>, en charge du suivi pédagogique des programmes de mobilité) réunissent tous les candidats à une mobilité académique pour un briefing général à la fois administratif et pédagogique. Une charte de respect des consignes exposées est</w:t>
            </w:r>
            <w:r w:rsidR="005E0232">
              <w:rPr>
                <w:rFonts w:cs="Andalus"/>
                <w:lang w:val="fr-FR"/>
              </w:rPr>
              <w:t xml:space="preserve"> signée par chaque candidat ; </w:t>
            </w:r>
            <w:r w:rsidR="005E0232" w:rsidRPr="00AE5E86">
              <w:rPr>
                <w:rFonts w:cs="Andalus"/>
                <w:b/>
                <w:lang w:val="fr-FR"/>
              </w:rPr>
              <w:t>celui-ci</w:t>
            </w:r>
            <w:r w:rsidR="002A4450" w:rsidRPr="00AE5E86">
              <w:rPr>
                <w:rFonts w:cs="Andalus"/>
                <w:b/>
                <w:lang w:val="fr-FR"/>
              </w:rPr>
              <w:t xml:space="preserve"> s’engage à respecter toutes les consignes sous peine de se voir écarté du projet de mobilité en cours.</w:t>
            </w:r>
          </w:p>
        </w:tc>
      </w:tr>
      <w:tr w:rsidR="00E33200" w14:paraId="3BDD8656" w14:textId="77777777" w:rsidTr="009A17F2">
        <w:tc>
          <w:tcPr>
            <w:tcW w:w="1453"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2240697" w14:textId="77777777" w:rsidR="002A4450" w:rsidRPr="002A4450" w:rsidRDefault="002A4450" w:rsidP="00505295">
            <w:pPr>
              <w:jc w:val="center"/>
              <w:rPr>
                <w:rFonts w:cs="Andalus"/>
                <w:lang w:val="fr-FR"/>
              </w:rPr>
            </w:pPr>
            <w:r w:rsidRPr="002A4450">
              <w:rPr>
                <w:rFonts w:cs="Andalus"/>
                <w:lang w:val="fr-FR"/>
              </w:rPr>
              <w:t>Confection du Learning Agreement</w:t>
            </w:r>
            <w:r w:rsidR="00B77D41">
              <w:rPr>
                <w:rFonts w:cs="Andalus"/>
                <w:lang w:val="fr-FR"/>
              </w:rPr>
              <w:t xml:space="preserve"> (LA)</w:t>
            </w:r>
            <w:r w:rsidR="001D19E4">
              <w:rPr>
                <w:rFonts w:cs="Andalus"/>
                <w:lang w:val="fr-FR"/>
              </w:rPr>
              <w:t xml:space="preserve"> = contrat d’études</w:t>
            </w:r>
          </w:p>
        </w:tc>
        <w:tc>
          <w:tcPr>
            <w:tcW w:w="3547" w:type="pct"/>
            <w:tcBorders>
              <w:top w:val="single" w:sz="4" w:space="0" w:color="auto"/>
              <w:left w:val="single" w:sz="4" w:space="0" w:color="auto"/>
              <w:bottom w:val="single" w:sz="4" w:space="0" w:color="auto"/>
              <w:right w:val="single" w:sz="4" w:space="0" w:color="auto"/>
            </w:tcBorders>
            <w:hideMark/>
          </w:tcPr>
          <w:p w14:paraId="7B1DA8B1" w14:textId="2CFFEEFF" w:rsidR="002A4450" w:rsidRPr="002A4450" w:rsidRDefault="00505295" w:rsidP="007F5EE8">
            <w:pPr>
              <w:rPr>
                <w:rFonts w:cs="Andalus"/>
                <w:lang w:val="fr-FR"/>
              </w:rPr>
            </w:pPr>
            <w:r>
              <w:rPr>
                <w:rFonts w:cs="Andalus"/>
                <w:lang w:val="fr-FR"/>
              </w:rPr>
              <w:t>S. Poizat</w:t>
            </w:r>
            <w:r w:rsidR="007F5EE8">
              <w:rPr>
                <w:rFonts w:cs="Andalus"/>
                <w:lang w:val="fr-FR"/>
              </w:rPr>
              <w:t xml:space="preserve"> prend contact</w:t>
            </w:r>
            <w:r w:rsidR="002A4450" w:rsidRPr="002A4450">
              <w:rPr>
                <w:rFonts w:cs="Andalus"/>
                <w:lang w:val="fr-FR"/>
              </w:rPr>
              <w:t xml:space="preserve"> par courriel</w:t>
            </w:r>
            <w:r w:rsidR="007F5EE8">
              <w:rPr>
                <w:rFonts w:cs="Andalus"/>
                <w:lang w:val="fr-FR"/>
              </w:rPr>
              <w:t xml:space="preserve"> avec chaque étudiant sélectionné</w:t>
            </w:r>
            <w:r w:rsidR="002A4450" w:rsidRPr="002A4450">
              <w:rPr>
                <w:rFonts w:cs="Andalus"/>
                <w:lang w:val="fr-FR"/>
              </w:rPr>
              <w:t xml:space="preserve"> pour </w:t>
            </w:r>
            <w:r w:rsidR="007F5EE8">
              <w:rPr>
                <w:rFonts w:cs="Andalus"/>
                <w:lang w:val="fr-FR"/>
              </w:rPr>
              <w:t xml:space="preserve">envoi de la </w:t>
            </w:r>
            <w:r w:rsidR="002A4450" w:rsidRPr="002A4450">
              <w:rPr>
                <w:rFonts w:cs="Andalus"/>
                <w:lang w:val="fr-FR"/>
              </w:rPr>
              <w:t>grille de convergence de l’Université assignée. A charge de l’étu</w:t>
            </w:r>
            <w:r w:rsidR="00AE5E86">
              <w:rPr>
                <w:rFonts w:cs="Andalus"/>
                <w:lang w:val="fr-FR"/>
              </w:rPr>
              <w:t xml:space="preserve">diant </w:t>
            </w:r>
            <w:r w:rsidR="00AE5E86" w:rsidRPr="001A6030">
              <w:rPr>
                <w:rFonts w:cs="Andalus"/>
                <w:b/>
                <w:lang w:val="fr-FR"/>
              </w:rPr>
              <w:t xml:space="preserve">de vérifier sur le site de l’université </w:t>
            </w:r>
            <w:r w:rsidR="002A4450" w:rsidRPr="001A6030">
              <w:rPr>
                <w:rFonts w:cs="Andalus"/>
                <w:b/>
                <w:lang w:val="fr-FR"/>
              </w:rPr>
              <w:t xml:space="preserve">partenaire l’organisation </w:t>
            </w:r>
            <w:r w:rsidR="0069280C" w:rsidRPr="001A6030">
              <w:rPr>
                <w:rFonts w:cs="Andalus"/>
                <w:b/>
                <w:lang w:val="fr-FR"/>
              </w:rPr>
              <w:t xml:space="preserve">effective </w:t>
            </w:r>
            <w:r w:rsidR="002A4450" w:rsidRPr="001A6030">
              <w:rPr>
                <w:rFonts w:cs="Andalus"/>
                <w:b/>
                <w:lang w:val="fr-FR"/>
              </w:rPr>
              <w:t xml:space="preserve">des cours retenus dans les </w:t>
            </w:r>
            <w:r w:rsidRPr="001A6030">
              <w:rPr>
                <w:rFonts w:cs="Andalus"/>
                <w:b/>
                <w:lang w:val="fr-FR"/>
              </w:rPr>
              <w:t>convergences et de rédiger</w:t>
            </w:r>
            <w:r w:rsidR="00550C25">
              <w:rPr>
                <w:rFonts w:cs="Andalus"/>
                <w:b/>
                <w:lang w:val="fr-FR"/>
              </w:rPr>
              <w:t xml:space="preserve"> un </w:t>
            </w:r>
            <w:r w:rsidR="001D19E4" w:rsidRPr="001A6030">
              <w:rPr>
                <w:rFonts w:cs="Andalus"/>
                <w:b/>
                <w:lang w:val="fr-FR"/>
              </w:rPr>
              <w:t xml:space="preserve">brouillon de </w:t>
            </w:r>
            <w:r w:rsidRPr="001A6030">
              <w:rPr>
                <w:rFonts w:cs="Andalus"/>
                <w:b/>
                <w:lang w:val="fr-FR"/>
              </w:rPr>
              <w:t>son L</w:t>
            </w:r>
            <w:r w:rsidR="002A4450" w:rsidRPr="001A6030">
              <w:rPr>
                <w:rFonts w:cs="Andalus"/>
                <w:b/>
                <w:lang w:val="fr-FR"/>
              </w:rPr>
              <w:t xml:space="preserve">earning </w:t>
            </w:r>
            <w:r w:rsidRPr="001A6030">
              <w:rPr>
                <w:rFonts w:cs="Andalus"/>
                <w:b/>
                <w:lang w:val="fr-FR"/>
              </w:rPr>
              <w:t>A</w:t>
            </w:r>
            <w:r w:rsidR="002A4450" w:rsidRPr="001A6030">
              <w:rPr>
                <w:rFonts w:cs="Andalus"/>
                <w:b/>
                <w:lang w:val="fr-FR"/>
              </w:rPr>
              <w:t>greement</w:t>
            </w:r>
            <w:r w:rsidR="001D19E4" w:rsidRPr="001A6030">
              <w:rPr>
                <w:rFonts w:cs="Andalus"/>
                <w:b/>
                <w:lang w:val="fr-FR"/>
              </w:rPr>
              <w:t xml:space="preserve"> </w:t>
            </w:r>
            <w:r w:rsidR="002A4450" w:rsidRPr="001A6030">
              <w:rPr>
                <w:rFonts w:cs="Andalus"/>
                <w:b/>
                <w:lang w:val="fr-FR"/>
              </w:rPr>
              <w:t>en apposant en regard de chaque cours le code correspondant de l’Université partenaire</w:t>
            </w:r>
            <w:r w:rsidR="002A4450" w:rsidRPr="002A4450">
              <w:rPr>
                <w:rFonts w:cs="Andalus"/>
                <w:lang w:val="fr-FR"/>
              </w:rPr>
              <w:t xml:space="preserve">. Pour toute question </w:t>
            </w:r>
            <w:r w:rsidR="0099501F">
              <w:rPr>
                <w:rFonts w:cs="Andalus"/>
                <w:lang w:val="fr-FR"/>
              </w:rPr>
              <w:t xml:space="preserve">d’ordre </w:t>
            </w:r>
            <w:r w:rsidR="002A4450" w:rsidRPr="002A4450">
              <w:rPr>
                <w:rFonts w:cs="Andalus"/>
                <w:lang w:val="fr-FR"/>
              </w:rPr>
              <w:t>pédagogique, l’étudiant prend contact par courrie</w:t>
            </w:r>
            <w:r>
              <w:rPr>
                <w:rFonts w:cs="Andalus"/>
                <w:lang w:val="fr-FR"/>
              </w:rPr>
              <w:t>l</w:t>
            </w:r>
            <w:r w:rsidR="00321F56">
              <w:rPr>
                <w:rFonts w:cs="Andalus"/>
                <w:lang w:val="fr-FR"/>
              </w:rPr>
              <w:t>/Teams</w:t>
            </w:r>
            <w:r>
              <w:rPr>
                <w:rFonts w:cs="Andalus"/>
                <w:lang w:val="fr-FR"/>
              </w:rPr>
              <w:t xml:space="preserve"> avec sa coordinatrice pédagogique.</w:t>
            </w:r>
          </w:p>
        </w:tc>
      </w:tr>
      <w:tr w:rsidR="00E33200" w14:paraId="0E3779CE" w14:textId="77777777" w:rsidTr="009A17F2">
        <w:tc>
          <w:tcPr>
            <w:tcW w:w="1453" w:type="pct"/>
            <w:tcBorders>
              <w:top w:val="single" w:sz="4" w:space="0" w:color="auto"/>
              <w:left w:val="single" w:sz="4" w:space="0" w:color="auto"/>
              <w:bottom w:val="nil"/>
              <w:right w:val="single" w:sz="4" w:space="0" w:color="auto"/>
            </w:tcBorders>
            <w:shd w:val="clear" w:color="auto" w:fill="D6E3BC" w:themeFill="accent3" w:themeFillTint="66"/>
            <w:hideMark/>
          </w:tcPr>
          <w:p w14:paraId="3C776AC8" w14:textId="77777777" w:rsidR="002A4450" w:rsidRPr="002A4450" w:rsidRDefault="002A4450" w:rsidP="00505295">
            <w:pPr>
              <w:jc w:val="center"/>
              <w:rPr>
                <w:rFonts w:cs="Andalus"/>
                <w:lang w:val="fr-FR"/>
              </w:rPr>
            </w:pPr>
            <w:r w:rsidRPr="002A4450">
              <w:rPr>
                <w:rFonts w:cs="Andalus"/>
                <w:lang w:val="fr-FR"/>
              </w:rPr>
              <w:t>Signature du Learning Agreement</w:t>
            </w:r>
            <w:r w:rsidR="00505295">
              <w:rPr>
                <w:rFonts w:cs="Andalus"/>
                <w:lang w:val="fr-FR"/>
              </w:rPr>
              <w:t xml:space="preserve"> par la coordinatrice pédagogique</w:t>
            </w:r>
          </w:p>
        </w:tc>
        <w:tc>
          <w:tcPr>
            <w:tcW w:w="3547" w:type="pct"/>
            <w:tcBorders>
              <w:top w:val="single" w:sz="4" w:space="0" w:color="auto"/>
              <w:left w:val="single" w:sz="4" w:space="0" w:color="auto"/>
              <w:bottom w:val="nil"/>
              <w:right w:val="single" w:sz="4" w:space="0" w:color="auto"/>
            </w:tcBorders>
            <w:hideMark/>
          </w:tcPr>
          <w:p w14:paraId="4C4856D1" w14:textId="77777777" w:rsidR="002A4450" w:rsidRPr="002A4450" w:rsidRDefault="002A4450" w:rsidP="001D19E4">
            <w:pPr>
              <w:rPr>
                <w:rFonts w:cs="Andalus"/>
                <w:lang w:val="fr-FR"/>
              </w:rPr>
            </w:pPr>
            <w:r w:rsidRPr="002A4450">
              <w:rPr>
                <w:rFonts w:cs="Andalus"/>
                <w:lang w:val="fr-FR"/>
              </w:rPr>
              <w:t xml:space="preserve">Une semaine avant le Blocus, une seconde réunion permet à chaque candidat de faire </w:t>
            </w:r>
            <w:r w:rsidR="005E0232" w:rsidRPr="001D19E4">
              <w:rPr>
                <w:rFonts w:cs="Andalus"/>
                <w:lang w:val="fr-FR"/>
              </w:rPr>
              <w:t>approuver</w:t>
            </w:r>
            <w:r w:rsidRPr="002A4450">
              <w:rPr>
                <w:rFonts w:cs="Andalus"/>
                <w:lang w:val="fr-FR"/>
              </w:rPr>
              <w:t xml:space="preserve"> son</w:t>
            </w:r>
            <w:r w:rsidR="00505295">
              <w:rPr>
                <w:rFonts w:cs="Andalus"/>
                <w:lang w:val="fr-FR"/>
              </w:rPr>
              <w:t xml:space="preserve"> Learning A</w:t>
            </w:r>
            <w:r w:rsidR="001D19E4">
              <w:rPr>
                <w:rFonts w:cs="Andalus"/>
                <w:lang w:val="fr-FR"/>
              </w:rPr>
              <w:t>greement par</w:t>
            </w:r>
            <w:r w:rsidR="00505295">
              <w:rPr>
                <w:rFonts w:cs="Andalus"/>
                <w:lang w:val="fr-FR"/>
              </w:rPr>
              <w:t xml:space="preserve"> sa coordinatrice</w:t>
            </w:r>
            <w:r w:rsidR="00B77D41">
              <w:rPr>
                <w:rFonts w:cs="Andalus"/>
                <w:lang w:val="fr-FR"/>
              </w:rPr>
              <w:t xml:space="preserve">. Le LA </w:t>
            </w:r>
            <w:r w:rsidR="0099501F">
              <w:rPr>
                <w:rFonts w:cs="Andalus"/>
                <w:lang w:val="fr-FR"/>
              </w:rPr>
              <w:t xml:space="preserve">est alors </w:t>
            </w:r>
            <w:r w:rsidR="005E0232" w:rsidRPr="001D19E4">
              <w:rPr>
                <w:rFonts w:cs="Andalus"/>
                <w:lang w:val="fr-FR"/>
              </w:rPr>
              <w:t>encodé</w:t>
            </w:r>
            <w:r w:rsidR="007F5EE8">
              <w:rPr>
                <w:rFonts w:cs="Andalus"/>
                <w:lang w:val="fr-FR"/>
              </w:rPr>
              <w:t xml:space="preserve"> par l’étudiant</w:t>
            </w:r>
            <w:r w:rsidR="001D19E4" w:rsidRPr="001D19E4">
              <w:rPr>
                <w:rFonts w:cs="Andalus"/>
                <w:lang w:val="fr-FR"/>
              </w:rPr>
              <w:t xml:space="preserve"> sur </w:t>
            </w:r>
            <w:r w:rsidR="001D19E4">
              <w:rPr>
                <w:rFonts w:cs="Andalus"/>
                <w:lang w:val="fr-FR"/>
              </w:rPr>
              <w:t>« my</w:t>
            </w:r>
            <w:r w:rsidR="001D19E4" w:rsidRPr="001D19E4">
              <w:rPr>
                <w:rFonts w:cs="Andalus"/>
                <w:lang w:val="fr-FR"/>
              </w:rPr>
              <w:t>hech</w:t>
            </w:r>
            <w:r w:rsidR="001D19E4">
              <w:rPr>
                <w:rFonts w:cs="Andalus"/>
                <w:lang w:val="fr-FR"/>
              </w:rPr>
              <w:t> »</w:t>
            </w:r>
            <w:r w:rsidR="007F5EE8">
              <w:rPr>
                <w:rFonts w:cs="Andalus"/>
                <w:lang w:val="fr-FR"/>
              </w:rPr>
              <w:t>, partie A de la Mobilité,</w:t>
            </w:r>
            <w:r w:rsidR="005E0232" w:rsidRPr="001D19E4">
              <w:rPr>
                <w:rFonts w:cs="Andalus"/>
                <w:lang w:val="fr-FR"/>
              </w:rPr>
              <w:t xml:space="preserve"> avec grande rigueur, et validé</w:t>
            </w:r>
            <w:r w:rsidR="005E0232">
              <w:rPr>
                <w:rFonts w:cs="Andalus"/>
                <w:color w:val="FF0000"/>
                <w:lang w:val="fr-FR"/>
              </w:rPr>
              <w:t xml:space="preserve"> </w:t>
            </w:r>
            <w:r w:rsidRPr="002A4450">
              <w:rPr>
                <w:rFonts w:cs="Andalus"/>
                <w:lang w:val="fr-FR"/>
              </w:rPr>
              <w:t xml:space="preserve">par le </w:t>
            </w:r>
            <w:r w:rsidRPr="001D19E4">
              <w:rPr>
                <w:rFonts w:cs="Andalus"/>
                <w:lang w:val="fr-FR"/>
              </w:rPr>
              <w:t>candidat</w:t>
            </w:r>
            <w:r w:rsidR="005E0232" w:rsidRPr="001D19E4">
              <w:rPr>
                <w:rFonts w:cs="Andalus"/>
                <w:lang w:val="fr-FR"/>
              </w:rPr>
              <w:t> ; il s’ensuit une nécessaire validation</w:t>
            </w:r>
            <w:r w:rsidR="002D60DF">
              <w:rPr>
                <w:rFonts w:cs="Andalus"/>
                <w:lang w:val="fr-FR"/>
              </w:rPr>
              <w:t xml:space="preserve"> électronique par le CP de la HE</w:t>
            </w:r>
            <w:r w:rsidR="005E0232" w:rsidRPr="001D19E4">
              <w:rPr>
                <w:rFonts w:cs="Andalus"/>
                <w:lang w:val="fr-FR"/>
              </w:rPr>
              <w:t xml:space="preserve">Ch puis du </w:t>
            </w:r>
            <w:r w:rsidRPr="001D19E4">
              <w:rPr>
                <w:rFonts w:cs="Andalus"/>
                <w:lang w:val="fr-FR"/>
              </w:rPr>
              <w:t xml:space="preserve">Coordinateur Départemental de l’Université d’accueil. Le LA </w:t>
            </w:r>
            <w:r w:rsidR="005E0232" w:rsidRPr="001D19E4">
              <w:rPr>
                <w:rFonts w:cs="Andalus"/>
                <w:lang w:val="fr-FR"/>
              </w:rPr>
              <w:t>doit</w:t>
            </w:r>
            <w:r w:rsidR="001D19E4">
              <w:rPr>
                <w:rFonts w:cs="Andalus"/>
                <w:lang w:val="fr-FR"/>
              </w:rPr>
              <w:t xml:space="preserve"> ainsi</w:t>
            </w:r>
            <w:r w:rsidR="005E0232" w:rsidRPr="001D19E4">
              <w:rPr>
                <w:rFonts w:cs="Andalus"/>
                <w:lang w:val="fr-FR"/>
              </w:rPr>
              <w:t xml:space="preserve"> être validé</w:t>
            </w:r>
            <w:r w:rsidRPr="001D19E4">
              <w:rPr>
                <w:rFonts w:cs="Andalus"/>
                <w:lang w:val="fr-FR"/>
              </w:rPr>
              <w:t xml:space="preserve"> </w:t>
            </w:r>
            <w:r w:rsidR="005E0232" w:rsidRPr="001D19E4">
              <w:rPr>
                <w:rFonts w:cs="Andalus"/>
                <w:lang w:val="fr-FR"/>
              </w:rPr>
              <w:t>par les trois parties</w:t>
            </w:r>
            <w:r w:rsidRPr="002A4450">
              <w:rPr>
                <w:rFonts w:cs="Andalus"/>
                <w:lang w:val="fr-FR"/>
              </w:rPr>
              <w:t xml:space="preserve"> au plus tard pour le 15 juin de l’année en cours.</w:t>
            </w:r>
          </w:p>
        </w:tc>
      </w:tr>
    </w:tbl>
    <w:tbl>
      <w:tblPr>
        <w:tblStyle w:val="Grilledutableau"/>
        <w:tblW w:w="5005" w:type="pct"/>
        <w:jc w:val="center"/>
        <w:tblLook w:val="04A0" w:firstRow="1" w:lastRow="0" w:firstColumn="1" w:lastColumn="0" w:noHBand="0" w:noVBand="1"/>
      </w:tblPr>
      <w:tblGrid>
        <w:gridCol w:w="4131"/>
        <w:gridCol w:w="11"/>
        <w:gridCol w:w="10081"/>
        <w:gridCol w:w="11"/>
      </w:tblGrid>
      <w:tr w:rsidR="0000559E" w:rsidRPr="0090132B" w14:paraId="036D86B7" w14:textId="77777777" w:rsidTr="006C39A0">
        <w:trPr>
          <w:jc w:val="center"/>
        </w:trPr>
        <w:tc>
          <w:tcPr>
            <w:tcW w:w="1455" w:type="pct"/>
            <w:gridSpan w:val="2"/>
            <w:shd w:val="clear" w:color="auto" w:fill="D6E3BC" w:themeFill="accent3" w:themeFillTint="66"/>
            <w:vAlign w:val="center"/>
          </w:tcPr>
          <w:p w14:paraId="01487A34" w14:textId="77777777" w:rsidR="0000559E" w:rsidRPr="0090132B" w:rsidRDefault="00186793" w:rsidP="0082797E">
            <w:pPr>
              <w:jc w:val="center"/>
              <w:rPr>
                <w:rFonts w:cs="Andalus"/>
              </w:rPr>
            </w:pPr>
            <w:r w:rsidRPr="0090132B">
              <w:rPr>
                <w:rFonts w:cs="Andalus"/>
              </w:rPr>
              <w:t>Préparation linguistique de l’étudiant</w:t>
            </w:r>
          </w:p>
        </w:tc>
        <w:tc>
          <w:tcPr>
            <w:tcW w:w="3545" w:type="pct"/>
            <w:gridSpan w:val="2"/>
          </w:tcPr>
          <w:p w14:paraId="5484D05E" w14:textId="27D84C01" w:rsidR="00A85256" w:rsidRDefault="0016444C" w:rsidP="005C41A7">
            <w:pPr>
              <w:rPr>
                <w:rFonts w:cs="Andalus"/>
              </w:rPr>
            </w:pPr>
            <w:r>
              <w:rPr>
                <w:rFonts w:cs="Andalus"/>
              </w:rPr>
              <w:t>L’étudiant qui effectue une mobilité dans un pays où la langue d’enseignement n’e</w:t>
            </w:r>
            <w:r w:rsidR="005C41A7">
              <w:rPr>
                <w:rFonts w:cs="Andalus"/>
              </w:rPr>
              <w:t>st pas le français doit se consacrer au plus tôt à l’</w:t>
            </w:r>
            <w:r w:rsidR="00A85256">
              <w:rPr>
                <w:rFonts w:cs="Andalus"/>
              </w:rPr>
              <w:t>acquisition de</w:t>
            </w:r>
            <w:r w:rsidR="005C41A7">
              <w:rPr>
                <w:rFonts w:cs="Andalus"/>
              </w:rPr>
              <w:t xml:space="preserve"> bases </w:t>
            </w:r>
            <w:r w:rsidR="00A85256">
              <w:rPr>
                <w:rFonts w:cs="Andalus"/>
              </w:rPr>
              <w:t xml:space="preserve">solides </w:t>
            </w:r>
            <w:r w:rsidR="005C41A7">
              <w:rPr>
                <w:rFonts w:cs="Andalus"/>
              </w:rPr>
              <w:t xml:space="preserve">dans cette langue. </w:t>
            </w:r>
            <w:r w:rsidR="006B2A7B">
              <w:rPr>
                <w:rFonts w:cs="Andalus"/>
              </w:rPr>
              <w:t xml:space="preserve">Un </w:t>
            </w:r>
            <w:r w:rsidR="006B2A7B" w:rsidRPr="00E1680D">
              <w:rPr>
                <w:rFonts w:cs="Andalus"/>
                <w:u w:val="single"/>
              </w:rPr>
              <w:t>test de langue en ligne</w:t>
            </w:r>
            <w:r w:rsidR="006B2A7B">
              <w:rPr>
                <w:rFonts w:cs="Andalus"/>
              </w:rPr>
              <w:t xml:space="preserve"> (OLS</w:t>
            </w:r>
            <w:r>
              <w:rPr>
                <w:rFonts w:cs="Andalus"/>
              </w:rPr>
              <w:t xml:space="preserve"> = Online Linguistic Support</w:t>
            </w:r>
            <w:r w:rsidR="00550C25">
              <w:rPr>
                <w:rFonts w:cs="Andalus"/>
              </w:rPr>
              <w:t xml:space="preserve">) </w:t>
            </w:r>
            <w:r w:rsidR="006B2A7B">
              <w:rPr>
                <w:rFonts w:cs="Andalus"/>
              </w:rPr>
              <w:t xml:space="preserve">doit obligatoirement </w:t>
            </w:r>
            <w:r w:rsidR="00FA6663">
              <w:rPr>
                <w:rFonts w:cs="Andalus"/>
              </w:rPr>
              <w:t>être passé fin juin au plus tard pour la langue d’enseignement de l’université d’accueil choisie</w:t>
            </w:r>
            <w:r w:rsidR="007F2BE9">
              <w:rPr>
                <w:rFonts w:cs="Andalus"/>
              </w:rPr>
              <w:t xml:space="preserve">. </w:t>
            </w:r>
            <w:r w:rsidR="00321F56">
              <w:rPr>
                <w:rFonts w:cs="Andalus"/>
              </w:rPr>
              <w:t xml:space="preserve">Le BRI octroie </w:t>
            </w:r>
            <w:r w:rsidR="005C41A7">
              <w:rPr>
                <w:rFonts w:cs="Andalus"/>
              </w:rPr>
              <w:t>une « </w:t>
            </w:r>
            <w:r w:rsidR="005C41A7" w:rsidRPr="00A85256">
              <w:rPr>
                <w:rFonts w:cs="Andalus"/>
                <w:u w:val="single"/>
              </w:rPr>
              <w:t>licence OLS</w:t>
            </w:r>
            <w:r w:rsidR="005C41A7">
              <w:rPr>
                <w:rFonts w:cs="Andalus"/>
              </w:rPr>
              <w:t> » qui p</w:t>
            </w:r>
            <w:r w:rsidR="00321F56">
              <w:rPr>
                <w:rFonts w:cs="Andalus"/>
              </w:rPr>
              <w:t>ermet à l’étudiant de soutenir</w:t>
            </w:r>
            <w:r w:rsidR="005C41A7">
              <w:rPr>
                <w:rFonts w:cs="Andalus"/>
              </w:rPr>
              <w:t xml:space="preserve"> son apprentissage. Le test en ligne sera enfin </w:t>
            </w:r>
            <w:r w:rsidR="007F2BE9">
              <w:rPr>
                <w:rFonts w:cs="Andalus"/>
              </w:rPr>
              <w:t>prés</w:t>
            </w:r>
            <w:r w:rsidR="005C41A7">
              <w:rPr>
                <w:rFonts w:cs="Andalus"/>
              </w:rPr>
              <w:t>enté à nouveau au retour de mobilité.</w:t>
            </w:r>
            <w:r w:rsidR="00995DC7">
              <w:rPr>
                <w:rFonts w:cs="Andalus"/>
              </w:rPr>
              <w:t xml:space="preserve"> </w:t>
            </w:r>
          </w:p>
          <w:p w14:paraId="063A77D3" w14:textId="77777777" w:rsidR="00A85256" w:rsidRDefault="0000559E" w:rsidP="005C41A7">
            <w:pPr>
              <w:rPr>
                <w:rFonts w:cs="Andalus"/>
              </w:rPr>
            </w:pPr>
            <w:r w:rsidRPr="0090132B">
              <w:rPr>
                <w:rFonts w:cs="Andalus"/>
              </w:rPr>
              <w:t xml:space="preserve">Des professeurs </w:t>
            </w:r>
            <w:r w:rsidR="00083864">
              <w:rPr>
                <w:rFonts w:cs="Andalus"/>
              </w:rPr>
              <w:t>de langues étrangères de</w:t>
            </w:r>
            <w:r w:rsidR="002D60DF">
              <w:rPr>
                <w:rFonts w:cs="Andalus"/>
              </w:rPr>
              <w:t xml:space="preserve"> la HE</w:t>
            </w:r>
            <w:r w:rsidR="00DF37CB">
              <w:rPr>
                <w:rFonts w:cs="Andalus"/>
              </w:rPr>
              <w:t>Ch</w:t>
            </w:r>
            <w:r w:rsidR="00BD0D5C">
              <w:rPr>
                <w:rFonts w:cs="Andalus"/>
              </w:rPr>
              <w:t xml:space="preserve"> peuvent être</w:t>
            </w:r>
            <w:r w:rsidRPr="0090132B">
              <w:rPr>
                <w:rFonts w:cs="Andalus"/>
              </w:rPr>
              <w:t xml:space="preserve"> amenés à </w:t>
            </w:r>
            <w:r w:rsidR="004520E7">
              <w:rPr>
                <w:rFonts w:cs="Andalus"/>
              </w:rPr>
              <w:t>certi</w:t>
            </w:r>
            <w:r w:rsidRPr="0090132B">
              <w:rPr>
                <w:rFonts w:cs="Andalus"/>
              </w:rPr>
              <w:t xml:space="preserve">fier le niveau de connaissance d’une voire </w:t>
            </w:r>
            <w:r w:rsidR="0085774A" w:rsidRPr="0090132B">
              <w:rPr>
                <w:rFonts w:cs="Andalus"/>
              </w:rPr>
              <w:t xml:space="preserve">de </w:t>
            </w:r>
            <w:r w:rsidRPr="0090132B">
              <w:rPr>
                <w:rFonts w:cs="Andalus"/>
              </w:rPr>
              <w:t>plusieurs langues de l’</w:t>
            </w:r>
            <w:r w:rsidR="00244D95" w:rsidRPr="0090132B">
              <w:rPr>
                <w:rFonts w:cs="Andalus"/>
              </w:rPr>
              <w:t>étudiant en se référa</w:t>
            </w:r>
            <w:r w:rsidR="00DF37CB">
              <w:rPr>
                <w:rFonts w:cs="Andalus"/>
              </w:rPr>
              <w:t>nt au CER (C</w:t>
            </w:r>
            <w:r w:rsidRPr="0090132B">
              <w:rPr>
                <w:rFonts w:cs="Andalus"/>
              </w:rPr>
              <w:t xml:space="preserve">adre </w:t>
            </w:r>
            <w:r w:rsidR="00DF37CB">
              <w:rPr>
                <w:rFonts w:cs="Andalus"/>
              </w:rPr>
              <w:t>E</w:t>
            </w:r>
            <w:r w:rsidRPr="0090132B">
              <w:rPr>
                <w:rFonts w:cs="Andalus"/>
              </w:rPr>
              <w:t xml:space="preserve">uropéen de </w:t>
            </w:r>
            <w:r w:rsidR="00DF37CB">
              <w:rPr>
                <w:rFonts w:cs="Andalus"/>
              </w:rPr>
              <w:t>R</w:t>
            </w:r>
            <w:r w:rsidRPr="0090132B">
              <w:rPr>
                <w:rFonts w:cs="Andalus"/>
              </w:rPr>
              <w:t>éférence)</w:t>
            </w:r>
            <w:r w:rsidR="00A85256">
              <w:rPr>
                <w:rFonts w:cs="Andalus"/>
              </w:rPr>
              <w:t>.</w:t>
            </w:r>
          </w:p>
          <w:p w14:paraId="0C139825" w14:textId="4DBB240E" w:rsidR="0000559E" w:rsidRDefault="00995DC7" w:rsidP="005C41A7">
            <w:pPr>
              <w:rPr>
                <w:rFonts w:cs="Andalus"/>
                <w:b/>
              </w:rPr>
            </w:pPr>
            <w:r>
              <w:rPr>
                <w:rFonts w:cs="Andalus"/>
              </w:rPr>
              <w:t xml:space="preserve">La </w:t>
            </w:r>
            <w:r w:rsidR="00244D95" w:rsidRPr="0090132B">
              <w:rPr>
                <w:rFonts w:cs="Andalus"/>
              </w:rPr>
              <w:t>condition d’admis</w:t>
            </w:r>
            <w:r w:rsidR="00A85256">
              <w:rPr>
                <w:rFonts w:cs="Andalus"/>
              </w:rPr>
              <w:t>sion chez la plupart des institutions</w:t>
            </w:r>
            <w:r>
              <w:rPr>
                <w:rFonts w:cs="Andalus"/>
              </w:rPr>
              <w:t xml:space="preserve"> partenaires est un </w:t>
            </w:r>
            <w:r w:rsidR="00244D95" w:rsidRPr="004F2A9A">
              <w:rPr>
                <w:rFonts w:cs="Andalus"/>
                <w:b/>
              </w:rPr>
              <w:t>niveau</w:t>
            </w:r>
            <w:r w:rsidR="004520E7" w:rsidRPr="004F2A9A">
              <w:rPr>
                <w:rFonts w:cs="Andalus"/>
                <w:b/>
              </w:rPr>
              <w:t xml:space="preserve"> </w:t>
            </w:r>
            <w:r w:rsidR="004F2A9A" w:rsidRPr="004F2A9A">
              <w:rPr>
                <w:rFonts w:cs="Andalus"/>
                <w:b/>
              </w:rPr>
              <w:t>B1</w:t>
            </w:r>
            <w:r w:rsidR="00244D95" w:rsidRPr="004F2A9A">
              <w:rPr>
                <w:rFonts w:cs="Andalus"/>
                <w:b/>
              </w:rPr>
              <w:t>.</w:t>
            </w:r>
            <w:r w:rsidR="00321F56">
              <w:rPr>
                <w:rFonts w:cs="Andalus"/>
                <w:b/>
              </w:rPr>
              <w:t xml:space="preserve"> </w:t>
            </w:r>
            <w:r w:rsidR="00321F56">
              <w:rPr>
                <w:rFonts w:cs="Andalus"/>
              </w:rPr>
              <w:t xml:space="preserve">Pour effectuer les </w:t>
            </w:r>
            <w:r w:rsidR="00321F56" w:rsidRPr="00321F56">
              <w:rPr>
                <w:rFonts w:cs="Andalus"/>
                <w:u w:val="single"/>
              </w:rPr>
              <w:t>stages</w:t>
            </w:r>
            <w:r w:rsidR="00321F56">
              <w:rPr>
                <w:rFonts w:cs="Andalus"/>
              </w:rPr>
              <w:t xml:space="preserve"> liés à votre mobilité académique, le </w:t>
            </w:r>
            <w:r w:rsidR="00321F56" w:rsidRPr="00321F56">
              <w:rPr>
                <w:rFonts w:cs="Andalus"/>
                <w:b/>
              </w:rPr>
              <w:t>niveau B2</w:t>
            </w:r>
            <w:r w:rsidR="00321F56">
              <w:rPr>
                <w:rFonts w:cs="Andalus"/>
              </w:rPr>
              <w:t xml:space="preserve"> doit être visé</w:t>
            </w:r>
            <w:r w:rsidR="00B5062F">
              <w:rPr>
                <w:rFonts w:cs="Andalus"/>
              </w:rPr>
              <w:t xml:space="preserve"> (vous ferez rapidement des progrès dans la langue dès votre arrivée sur place si vous vous mettez dans une posture d’intégration aux étudiants locaux !).</w:t>
            </w:r>
          </w:p>
          <w:p w14:paraId="66C089A6" w14:textId="77777777" w:rsidR="007F5EE8" w:rsidRPr="007F5EE8" w:rsidRDefault="007F5EE8" w:rsidP="005C41A7">
            <w:pPr>
              <w:rPr>
                <w:rFonts w:cs="Andalus"/>
              </w:rPr>
            </w:pPr>
            <w:r>
              <w:rPr>
                <w:rFonts w:cs="Andalus"/>
              </w:rPr>
              <w:t>Dans l’année qui précède le départ en mobilité, la formation linguistique de l’étudiant peut faire l’objet d’un remboursement à concurrence de 100 euros par le BRI, sur présentation d’une facture.</w:t>
            </w:r>
          </w:p>
        </w:tc>
      </w:tr>
      <w:tr w:rsidR="00E30A24" w:rsidRPr="0090132B" w14:paraId="1C26FB4F" w14:textId="77777777" w:rsidTr="0099501F">
        <w:trPr>
          <w:jc w:val="center"/>
        </w:trPr>
        <w:tc>
          <w:tcPr>
            <w:tcW w:w="1455" w:type="pct"/>
            <w:gridSpan w:val="2"/>
            <w:shd w:val="clear" w:color="auto" w:fill="D6E3BC" w:themeFill="accent3" w:themeFillTint="66"/>
            <w:vAlign w:val="center"/>
          </w:tcPr>
          <w:p w14:paraId="1BD5D30E" w14:textId="77777777" w:rsidR="00EF413B" w:rsidRDefault="00E30A24" w:rsidP="0082797E">
            <w:pPr>
              <w:jc w:val="center"/>
              <w:rPr>
                <w:rFonts w:cs="Andalus"/>
              </w:rPr>
            </w:pPr>
            <w:r w:rsidRPr="0090132B">
              <w:rPr>
                <w:rFonts w:cs="Andalus"/>
              </w:rPr>
              <w:t xml:space="preserve">Principes de choix de </w:t>
            </w:r>
            <w:r w:rsidRPr="00EF413B">
              <w:rPr>
                <w:rFonts w:cs="Andalus"/>
                <w:u w:val="single"/>
              </w:rPr>
              <w:t>cours </w:t>
            </w:r>
            <w:r w:rsidR="00523BBE">
              <w:rPr>
                <w:rFonts w:cs="Andalus"/>
              </w:rPr>
              <w:t xml:space="preserve">pour la construction du contrat d’études </w:t>
            </w:r>
          </w:p>
          <w:p w14:paraId="750E78E1" w14:textId="77777777" w:rsidR="005047CC" w:rsidRDefault="00523BBE" w:rsidP="0082797E">
            <w:pPr>
              <w:jc w:val="center"/>
              <w:rPr>
                <w:rFonts w:cs="Andalus"/>
              </w:rPr>
            </w:pPr>
            <w:r>
              <w:rPr>
                <w:rFonts w:cs="Andalus"/>
              </w:rPr>
              <w:t>(Learning Agreement)</w:t>
            </w:r>
          </w:p>
          <w:p w14:paraId="474043CD" w14:textId="77777777" w:rsidR="005047CC" w:rsidRDefault="005047CC" w:rsidP="0082797E">
            <w:pPr>
              <w:jc w:val="center"/>
              <w:rPr>
                <w:rFonts w:cs="Andalus"/>
              </w:rPr>
            </w:pPr>
          </w:p>
          <w:p w14:paraId="0775F741" w14:textId="77777777" w:rsidR="005047CC" w:rsidRDefault="005047CC" w:rsidP="0082797E">
            <w:pPr>
              <w:jc w:val="center"/>
              <w:rPr>
                <w:rFonts w:cs="Andalus"/>
              </w:rPr>
            </w:pPr>
          </w:p>
          <w:p w14:paraId="539B1BAE" w14:textId="77777777" w:rsidR="0082405C" w:rsidRDefault="0082405C" w:rsidP="0082797E">
            <w:pPr>
              <w:jc w:val="center"/>
              <w:rPr>
                <w:rFonts w:cs="Andalus"/>
              </w:rPr>
            </w:pPr>
          </w:p>
          <w:p w14:paraId="0081BC5B" w14:textId="77777777" w:rsidR="0082405C" w:rsidRDefault="0082405C" w:rsidP="0082797E">
            <w:pPr>
              <w:jc w:val="center"/>
              <w:rPr>
                <w:rFonts w:cs="Andalus"/>
              </w:rPr>
            </w:pPr>
          </w:p>
          <w:p w14:paraId="0C238FE1" w14:textId="77777777" w:rsidR="0082405C" w:rsidRDefault="0082405C" w:rsidP="0082797E">
            <w:pPr>
              <w:jc w:val="center"/>
              <w:rPr>
                <w:rFonts w:cs="Andalus"/>
              </w:rPr>
            </w:pPr>
          </w:p>
          <w:p w14:paraId="4B5373A5" w14:textId="77777777" w:rsidR="0082405C" w:rsidRDefault="0082405C" w:rsidP="0082797E">
            <w:pPr>
              <w:jc w:val="center"/>
              <w:rPr>
                <w:rFonts w:cs="Andalus"/>
              </w:rPr>
            </w:pPr>
          </w:p>
          <w:p w14:paraId="5B885C2A" w14:textId="77777777" w:rsidR="0082405C" w:rsidRDefault="0082405C" w:rsidP="0082797E">
            <w:pPr>
              <w:jc w:val="center"/>
              <w:rPr>
                <w:rFonts w:cs="Andalus"/>
              </w:rPr>
            </w:pPr>
          </w:p>
          <w:p w14:paraId="1944A9E7" w14:textId="77777777" w:rsidR="00D67E34" w:rsidRPr="002D60DF" w:rsidRDefault="005047CC" w:rsidP="005047CC">
            <w:pPr>
              <w:jc w:val="center"/>
              <w:rPr>
                <w:rFonts w:cs="Andalus"/>
                <w:i/>
                <w:color w:val="C0504D" w:themeColor="accent2"/>
              </w:rPr>
            </w:pPr>
            <w:r w:rsidRPr="00ED68F1">
              <w:rPr>
                <w:rFonts w:cs="Andalus"/>
              </w:rPr>
              <w:t xml:space="preserve">  </w:t>
            </w:r>
            <w:r w:rsidRPr="002D60DF">
              <w:rPr>
                <w:rFonts w:cs="Andalus"/>
                <w:i/>
                <w:color w:val="C0504D" w:themeColor="accent2"/>
              </w:rPr>
              <w:t xml:space="preserve">Sur base des principes énoncés, </w:t>
            </w:r>
            <w:r w:rsidR="00E30A24" w:rsidRPr="002D60DF">
              <w:rPr>
                <w:rFonts w:cs="Andalus"/>
                <w:i/>
                <w:color w:val="C0504D" w:themeColor="accent2"/>
              </w:rPr>
              <w:t>une année en Mobilité académique est considérée comme globalem</w:t>
            </w:r>
            <w:r w:rsidRPr="002D60DF">
              <w:rPr>
                <w:rFonts w:cs="Andalus"/>
                <w:i/>
                <w:color w:val="C0504D" w:themeColor="accent2"/>
              </w:rPr>
              <w:t xml:space="preserve">ent équivalente à un </w:t>
            </w:r>
          </w:p>
          <w:p w14:paraId="7A36B2F2" w14:textId="77777777" w:rsidR="00E30A24" w:rsidRPr="00ED68F1" w:rsidRDefault="005047CC" w:rsidP="00D67E34">
            <w:pPr>
              <w:jc w:val="center"/>
              <w:rPr>
                <w:rFonts w:cs="Andalus"/>
                <w:i/>
              </w:rPr>
            </w:pPr>
            <w:r w:rsidRPr="002D60DF">
              <w:rPr>
                <w:rFonts w:cs="Andalus"/>
                <w:i/>
                <w:color w:val="C0504D" w:themeColor="accent2"/>
              </w:rPr>
              <w:t>bloc 3</w:t>
            </w:r>
            <w:r w:rsidR="0082405C" w:rsidRPr="002D60DF">
              <w:rPr>
                <w:rFonts w:cs="Andalus"/>
                <w:i/>
                <w:color w:val="C0504D" w:themeColor="accent2"/>
              </w:rPr>
              <w:t xml:space="preserve"> à la </w:t>
            </w:r>
            <w:r w:rsidR="002D60DF" w:rsidRPr="002D60DF">
              <w:rPr>
                <w:rFonts w:cs="Andalus"/>
                <w:i/>
                <w:color w:val="C0504D" w:themeColor="accent2"/>
              </w:rPr>
              <w:t>HE</w:t>
            </w:r>
            <w:r w:rsidR="00930A4F" w:rsidRPr="002D60DF">
              <w:rPr>
                <w:rFonts w:cs="Andalus"/>
                <w:i/>
                <w:color w:val="C0504D" w:themeColor="accent2"/>
              </w:rPr>
              <w:t>Ch</w:t>
            </w:r>
          </w:p>
        </w:tc>
        <w:tc>
          <w:tcPr>
            <w:tcW w:w="3545" w:type="pct"/>
            <w:gridSpan w:val="2"/>
          </w:tcPr>
          <w:p w14:paraId="1F7BD851" w14:textId="77777777" w:rsidR="00DF37CB" w:rsidRDefault="00F2012D" w:rsidP="00562CCF">
            <w:pPr>
              <w:rPr>
                <w:rFonts w:cs="Andalus"/>
              </w:rPr>
            </w:pPr>
            <w:r>
              <w:rPr>
                <w:rFonts w:cs="Andalus"/>
              </w:rPr>
              <w:lastRenderedPageBreak/>
              <w:t>Ta</w:t>
            </w:r>
            <w:r w:rsidR="00DF37CB">
              <w:rPr>
                <w:rFonts w:cs="Andalus"/>
              </w:rPr>
              <w:t xml:space="preserve"> coordinatrice pédagogique applique la méthodologie de travail suivante : </w:t>
            </w:r>
          </w:p>
          <w:p w14:paraId="6D264C34" w14:textId="73E58761" w:rsidR="00E30A24" w:rsidRPr="0090132B" w:rsidRDefault="00BD0D5C" w:rsidP="00562CCF">
            <w:pPr>
              <w:rPr>
                <w:rFonts w:cs="Andalus"/>
              </w:rPr>
            </w:pPr>
            <w:r>
              <w:rPr>
                <w:rFonts w:cs="Andalus"/>
              </w:rPr>
              <w:t xml:space="preserve">- </w:t>
            </w:r>
            <w:r w:rsidR="002D60DF">
              <w:rPr>
                <w:rFonts w:cs="Andalus"/>
              </w:rPr>
              <w:t>Comparer les intitulés HE</w:t>
            </w:r>
            <w:r w:rsidR="00DF37CB">
              <w:rPr>
                <w:rFonts w:cs="Andalus"/>
              </w:rPr>
              <w:t>Ch</w:t>
            </w:r>
            <w:r w:rsidR="004979A1">
              <w:rPr>
                <w:rFonts w:cs="Andalus"/>
              </w:rPr>
              <w:t>-Partenaire et choisir les cours</w:t>
            </w:r>
            <w:r w:rsidR="00E30A24" w:rsidRPr="0090132B">
              <w:rPr>
                <w:rFonts w:cs="Andalus"/>
              </w:rPr>
              <w:t xml:space="preserve"> les plus apparentés</w:t>
            </w:r>
            <w:r w:rsidR="00B5062F">
              <w:rPr>
                <w:rFonts w:cs="Andalus"/>
              </w:rPr>
              <w:t xml:space="preserve"> aux </w:t>
            </w:r>
            <w:r w:rsidR="004979A1">
              <w:rPr>
                <w:rFonts w:cs="Andalus"/>
              </w:rPr>
              <w:t>UE</w:t>
            </w:r>
            <w:r w:rsidR="00E30A24" w:rsidRPr="0090132B">
              <w:rPr>
                <w:rFonts w:cs="Andalus"/>
              </w:rPr>
              <w:t xml:space="preserve"> de l’Institution d’origine</w:t>
            </w:r>
            <w:r>
              <w:rPr>
                <w:rFonts w:cs="Andalus"/>
              </w:rPr>
              <w:t xml:space="preserve"> =&gt; construction d’une </w:t>
            </w:r>
            <w:r w:rsidRPr="004F2A9A">
              <w:rPr>
                <w:rFonts w:cs="Andalus"/>
                <w:b/>
                <w:i/>
              </w:rPr>
              <w:t>grille de convergence</w:t>
            </w:r>
            <w:r w:rsidR="004F2A9A">
              <w:rPr>
                <w:rFonts w:cs="Andalus"/>
              </w:rPr>
              <w:t xml:space="preserve"> qui servira de base à l’élaboration du </w:t>
            </w:r>
            <w:r w:rsidR="004F2A9A" w:rsidRPr="00930A4F">
              <w:rPr>
                <w:rFonts w:cs="Andalus"/>
              </w:rPr>
              <w:t>contrat d’études</w:t>
            </w:r>
            <w:r w:rsidR="00B5062F">
              <w:rPr>
                <w:rFonts w:cs="Andalus"/>
              </w:rPr>
              <w:t> ; eu égard aux changements fréquents d’organisation des cours, une actualisation annuelle des grilles de convergence est réalisée.</w:t>
            </w:r>
          </w:p>
          <w:p w14:paraId="71464A3E" w14:textId="77777777" w:rsidR="00E30A24" w:rsidRDefault="00BD0D5C" w:rsidP="00562CCF">
            <w:pPr>
              <w:rPr>
                <w:rFonts w:cs="Andalus"/>
              </w:rPr>
            </w:pPr>
            <w:r>
              <w:rPr>
                <w:rFonts w:cs="Andalus"/>
              </w:rPr>
              <w:lastRenderedPageBreak/>
              <w:t xml:space="preserve">- </w:t>
            </w:r>
            <w:r w:rsidR="00E30A24" w:rsidRPr="0090132B">
              <w:rPr>
                <w:rFonts w:cs="Andalus"/>
              </w:rPr>
              <w:t xml:space="preserve">Panacher le moins possible sur divers niveaux du cursus </w:t>
            </w:r>
            <w:r w:rsidR="00615670">
              <w:rPr>
                <w:rFonts w:cs="Andalus"/>
              </w:rPr>
              <w:t xml:space="preserve">étranger pour éviter les </w:t>
            </w:r>
            <w:r w:rsidR="00E30A24" w:rsidRPr="0090132B">
              <w:rPr>
                <w:rFonts w:cs="Andalus"/>
              </w:rPr>
              <w:t>incompatibilités d’horaires.</w:t>
            </w:r>
          </w:p>
          <w:p w14:paraId="309B2755" w14:textId="38FC689A" w:rsidR="004F2A9A" w:rsidRPr="0090132B" w:rsidRDefault="004F2A9A" w:rsidP="00562CCF">
            <w:pPr>
              <w:rPr>
                <w:rFonts w:cs="Andalus"/>
              </w:rPr>
            </w:pPr>
            <w:r>
              <w:rPr>
                <w:rFonts w:cs="Andalus"/>
              </w:rPr>
              <w:t>- Te</w:t>
            </w:r>
            <w:r w:rsidR="00ED68F1">
              <w:rPr>
                <w:rFonts w:cs="Andalus"/>
              </w:rPr>
              <w:t>nir compte, le cas échéant, de la localisation</w:t>
            </w:r>
            <w:r>
              <w:rPr>
                <w:rFonts w:cs="Andalus"/>
              </w:rPr>
              <w:t xml:space="preserve"> des</w:t>
            </w:r>
            <w:r w:rsidR="00D6307E">
              <w:rPr>
                <w:rFonts w:cs="Andalus"/>
              </w:rPr>
              <w:t xml:space="preserve"> dépar</w:t>
            </w:r>
            <w:r w:rsidR="00ED68F1">
              <w:rPr>
                <w:rFonts w:cs="Andalus"/>
              </w:rPr>
              <w:t>tements où les cours se donnent (contrainte géographique à ne pas négliger)</w:t>
            </w:r>
            <w:r w:rsidR="00B5062F">
              <w:rPr>
                <w:rFonts w:cs="Andalus"/>
              </w:rPr>
              <w:t>.</w:t>
            </w:r>
          </w:p>
          <w:p w14:paraId="4B40B6A1" w14:textId="351F714B" w:rsidR="00E30A24" w:rsidRPr="0090132B" w:rsidRDefault="00BD0D5C" w:rsidP="00562CCF">
            <w:pPr>
              <w:rPr>
                <w:rFonts w:cs="Andalus"/>
              </w:rPr>
            </w:pPr>
            <w:r>
              <w:rPr>
                <w:rFonts w:cs="Andalus"/>
              </w:rPr>
              <w:t xml:space="preserve">- </w:t>
            </w:r>
            <w:r w:rsidR="00E30A24" w:rsidRPr="0090132B">
              <w:rPr>
                <w:rFonts w:cs="Andalus"/>
              </w:rPr>
              <w:t>Inclure obligatoirement un cours de la langue du pays d’accueil</w:t>
            </w:r>
            <w:r w:rsidR="002145F3">
              <w:rPr>
                <w:rFonts w:cs="Andalus"/>
              </w:rPr>
              <w:t xml:space="preserve"> non francophone </w:t>
            </w:r>
            <w:r w:rsidR="00E30A24" w:rsidRPr="0090132B">
              <w:rPr>
                <w:rFonts w:cs="Andalus"/>
              </w:rPr>
              <w:t>(si suivi dans une Institution connexe à l’Université, possibilité de remboursement des frais de cours par notre BRI à concurrence de 100 €</w:t>
            </w:r>
            <w:r w:rsidR="00983670" w:rsidRPr="0090132B">
              <w:rPr>
                <w:rFonts w:cs="Andalus"/>
              </w:rPr>
              <w:t>, si cette aide n’a pas été sollicitée antérieurement pour une préparation linguistique à l’échange</w:t>
            </w:r>
            <w:r w:rsidR="00E30A24" w:rsidRPr="0090132B">
              <w:rPr>
                <w:rFonts w:cs="Andalus"/>
              </w:rPr>
              <w:t>).</w:t>
            </w:r>
            <w:r w:rsidR="00B5062F">
              <w:rPr>
                <w:rFonts w:cs="Andalus"/>
              </w:rPr>
              <w:t xml:space="preserve"> Généralement, 3 crédits</w:t>
            </w:r>
            <w:r w:rsidR="00523BBE">
              <w:rPr>
                <w:rFonts w:cs="Andalus"/>
              </w:rPr>
              <w:t>/semestre sont associés à ce cours de langue.</w:t>
            </w:r>
          </w:p>
          <w:p w14:paraId="0CAB14A9" w14:textId="73482D72" w:rsidR="007C07F0" w:rsidRPr="0090132B" w:rsidRDefault="00BD0D5C" w:rsidP="00562CCF">
            <w:pPr>
              <w:rPr>
                <w:rFonts w:cs="Andalus"/>
              </w:rPr>
            </w:pPr>
            <w:r>
              <w:rPr>
                <w:rFonts w:cs="Andalus"/>
              </w:rPr>
              <w:t xml:space="preserve">- </w:t>
            </w:r>
            <w:r w:rsidR="00E30A24" w:rsidRPr="0090132B">
              <w:rPr>
                <w:rFonts w:cs="Andalus"/>
              </w:rPr>
              <w:t>Compte tenu de la disparité des montant</w:t>
            </w:r>
            <w:r w:rsidR="00B5062F">
              <w:rPr>
                <w:rFonts w:cs="Andalus"/>
              </w:rPr>
              <w:t xml:space="preserve">s des crédits </w:t>
            </w:r>
            <w:r w:rsidR="002D60DF">
              <w:rPr>
                <w:rFonts w:cs="Andalus"/>
              </w:rPr>
              <w:t>entre la HE</w:t>
            </w:r>
            <w:r w:rsidR="00930A4F">
              <w:rPr>
                <w:rFonts w:cs="Andalus"/>
              </w:rPr>
              <w:t>Ch</w:t>
            </w:r>
            <w:r w:rsidR="00E30A24" w:rsidRPr="0090132B">
              <w:rPr>
                <w:rFonts w:cs="Andalus"/>
              </w:rPr>
              <w:t xml:space="preserve"> et les partenaires, veiller à équilibrer le programme d’études suivant </w:t>
            </w:r>
            <w:r w:rsidR="007C07F0" w:rsidRPr="0090132B">
              <w:rPr>
                <w:rFonts w:cs="Andalus"/>
              </w:rPr>
              <w:t>l</w:t>
            </w:r>
            <w:r w:rsidR="00E30A24" w:rsidRPr="0090132B">
              <w:rPr>
                <w:rFonts w:cs="Andalus"/>
              </w:rPr>
              <w:t>es axes principaux</w:t>
            </w:r>
            <w:r w:rsidR="007C07F0" w:rsidRPr="0090132B">
              <w:rPr>
                <w:rFonts w:cs="Andalus"/>
              </w:rPr>
              <w:t xml:space="preserve"> </w:t>
            </w:r>
            <w:r w:rsidR="00523BBE">
              <w:rPr>
                <w:rFonts w:cs="Andalus"/>
              </w:rPr>
              <w:t xml:space="preserve">de la formation </w:t>
            </w:r>
            <w:r w:rsidR="007C07F0" w:rsidRPr="0090132B">
              <w:rPr>
                <w:rFonts w:cs="Andalus"/>
              </w:rPr>
              <w:t>(</w:t>
            </w:r>
            <w:r w:rsidR="004979A1">
              <w:rPr>
                <w:rFonts w:cs="Andalus"/>
              </w:rPr>
              <w:t xml:space="preserve">connaissances pédagogiques, </w:t>
            </w:r>
            <w:r w:rsidR="007C07F0" w:rsidRPr="0090132B">
              <w:rPr>
                <w:rFonts w:cs="Andalus"/>
              </w:rPr>
              <w:t>connaissances discip</w:t>
            </w:r>
            <w:r w:rsidR="004979A1">
              <w:rPr>
                <w:rFonts w:cs="Andalus"/>
              </w:rPr>
              <w:t>linaires + didactique des disciplines,</w:t>
            </w:r>
            <w:r w:rsidR="007C07F0" w:rsidRPr="0090132B">
              <w:rPr>
                <w:rFonts w:cs="Andalus"/>
              </w:rPr>
              <w:t xml:space="preserve"> pratique professionnelle, TFE</w:t>
            </w:r>
            <w:r w:rsidR="004979A1">
              <w:rPr>
                <w:rFonts w:cs="Andalus"/>
              </w:rPr>
              <w:t>, ouverture</w:t>
            </w:r>
            <w:r w:rsidR="007C07F0" w:rsidRPr="0090132B">
              <w:rPr>
                <w:rFonts w:cs="Andalus"/>
              </w:rPr>
              <w:t>)</w:t>
            </w:r>
            <w:r w:rsidR="00523BBE">
              <w:rPr>
                <w:rFonts w:cs="Andalus"/>
              </w:rPr>
              <w:t>.</w:t>
            </w:r>
          </w:p>
          <w:p w14:paraId="1A444687" w14:textId="77777777" w:rsidR="00E30A24" w:rsidRDefault="00BD0D5C" w:rsidP="00930A4F">
            <w:pPr>
              <w:rPr>
                <w:rFonts w:cs="Andalus"/>
              </w:rPr>
            </w:pPr>
            <w:r>
              <w:rPr>
                <w:rFonts w:cs="Andalus"/>
              </w:rPr>
              <w:t xml:space="preserve">- </w:t>
            </w:r>
            <w:r w:rsidR="00E30A24" w:rsidRPr="0090132B">
              <w:rPr>
                <w:rFonts w:cs="Andalus"/>
              </w:rPr>
              <w:t xml:space="preserve">Si le </w:t>
            </w:r>
            <w:r w:rsidR="00E30A24" w:rsidRPr="00FD7E6F">
              <w:rPr>
                <w:rFonts w:cs="Andalus"/>
                <w:u w:val="single"/>
              </w:rPr>
              <w:t>stage</w:t>
            </w:r>
            <w:r w:rsidR="00E30A24" w:rsidRPr="0090132B">
              <w:rPr>
                <w:rFonts w:cs="Andalus"/>
              </w:rPr>
              <w:t xml:space="preserve"> est accessible</w:t>
            </w:r>
            <w:r w:rsidR="00930A4F">
              <w:rPr>
                <w:rFonts w:cs="Andalus"/>
              </w:rPr>
              <w:t xml:space="preserve"> -</w:t>
            </w:r>
            <w:r w:rsidR="00F7724D" w:rsidRPr="0090132B">
              <w:rPr>
                <w:rFonts w:cs="Andalus"/>
              </w:rPr>
              <w:t xml:space="preserve"> au moins partiellement, sous forme d</w:t>
            </w:r>
            <w:r w:rsidR="00930A4F">
              <w:rPr>
                <w:rFonts w:cs="Andalus"/>
              </w:rPr>
              <w:t xml:space="preserve">’une observation participante </w:t>
            </w:r>
            <w:r w:rsidR="002D60DF">
              <w:rPr>
                <w:rFonts w:cs="Andalus"/>
              </w:rPr>
              <w:t xml:space="preserve">ou davantage </w:t>
            </w:r>
            <w:r w:rsidR="00930A4F">
              <w:rPr>
                <w:rFonts w:cs="Andalus"/>
              </w:rPr>
              <w:t xml:space="preserve">- </w:t>
            </w:r>
            <w:r w:rsidR="00E30A24" w:rsidRPr="0090132B">
              <w:rPr>
                <w:rFonts w:cs="Andalus"/>
              </w:rPr>
              <w:t xml:space="preserve">aux étudiants étrangers, l’inclure dans le programme d’études. Nous vérifions lors de toute nouvelle convention bilatérale qu’un professeur de l’Institution d’accueil pourvoira à l’évaluation du stage de l’étudiant </w:t>
            </w:r>
            <w:r w:rsidR="002D60DF">
              <w:rPr>
                <w:rFonts w:cs="Andalus"/>
              </w:rPr>
              <w:t>de la HE</w:t>
            </w:r>
            <w:r w:rsidR="0085774A" w:rsidRPr="0090132B">
              <w:rPr>
                <w:rFonts w:cs="Andalus"/>
              </w:rPr>
              <w:t>C</w:t>
            </w:r>
            <w:r w:rsidR="005C2C77">
              <w:rPr>
                <w:rFonts w:cs="Andalus"/>
              </w:rPr>
              <w:t>h</w:t>
            </w:r>
            <w:r w:rsidR="0085774A" w:rsidRPr="0090132B">
              <w:rPr>
                <w:rFonts w:cs="Andalus"/>
              </w:rPr>
              <w:t xml:space="preserve"> </w:t>
            </w:r>
            <w:r w:rsidR="00E30A24" w:rsidRPr="0090132B">
              <w:rPr>
                <w:rFonts w:cs="Andalus"/>
              </w:rPr>
              <w:t>en échange académique</w:t>
            </w:r>
            <w:r w:rsidR="00685053">
              <w:rPr>
                <w:rFonts w:cs="Andalus"/>
              </w:rPr>
              <w:t xml:space="preserve"> et ce, dans le respect de</w:t>
            </w:r>
            <w:r w:rsidR="002D60DF">
              <w:rPr>
                <w:rFonts w:cs="Andalus"/>
              </w:rPr>
              <w:t xml:space="preserve"> la convention de stage de la HE</w:t>
            </w:r>
            <w:r w:rsidR="00685053">
              <w:rPr>
                <w:rFonts w:cs="Andalus"/>
              </w:rPr>
              <w:t>Ch</w:t>
            </w:r>
            <w:r w:rsidR="00E30A24" w:rsidRPr="0090132B">
              <w:rPr>
                <w:rFonts w:cs="Andalus"/>
              </w:rPr>
              <w:t>.</w:t>
            </w:r>
          </w:p>
          <w:p w14:paraId="4852662F" w14:textId="5217BEF9" w:rsidR="0099501F" w:rsidRPr="0090132B" w:rsidRDefault="0099501F" w:rsidP="00930A4F">
            <w:pPr>
              <w:rPr>
                <w:rFonts w:cs="Andalus"/>
              </w:rPr>
            </w:pPr>
            <w:r>
              <w:rPr>
                <w:rFonts w:cs="Andalus"/>
              </w:rPr>
              <w:t xml:space="preserve">- </w:t>
            </w:r>
            <w:r w:rsidRPr="0090132B">
              <w:rPr>
                <w:rFonts w:cs="Andalus"/>
              </w:rPr>
              <w:t xml:space="preserve">Si le </w:t>
            </w:r>
            <w:r w:rsidRPr="004979A1">
              <w:rPr>
                <w:rFonts w:cs="Andalus"/>
                <w:u w:val="single"/>
              </w:rPr>
              <w:t>Travail de Fin d’Etudes</w:t>
            </w:r>
            <w:r w:rsidRPr="0090132B">
              <w:rPr>
                <w:rFonts w:cs="Andalus"/>
              </w:rPr>
              <w:t xml:space="preserve"> est accessible aux étudiants étrangers, l’inclure</w:t>
            </w:r>
            <w:r>
              <w:rPr>
                <w:rFonts w:cs="Andalus"/>
              </w:rPr>
              <w:t xml:space="preserve"> systématiquement </w:t>
            </w:r>
            <w:r w:rsidRPr="0090132B">
              <w:rPr>
                <w:rFonts w:cs="Andalus"/>
              </w:rPr>
              <w:t>dans le programme d’études.</w:t>
            </w:r>
            <w:r w:rsidR="00B5062F">
              <w:rPr>
                <w:rFonts w:cs="Andalus"/>
              </w:rPr>
              <w:t xml:space="preserve"> </w:t>
            </w:r>
          </w:p>
        </w:tc>
      </w:tr>
      <w:tr w:rsidR="005E4DE8" w:rsidRPr="0090132B" w14:paraId="70F7E0E1" w14:textId="77777777" w:rsidTr="006C39A0">
        <w:trPr>
          <w:gridAfter w:val="1"/>
          <w:wAfter w:w="4" w:type="pct"/>
          <w:jc w:val="center"/>
        </w:trPr>
        <w:tc>
          <w:tcPr>
            <w:tcW w:w="1451" w:type="pct"/>
            <w:shd w:val="clear" w:color="auto" w:fill="D6E3BC" w:themeFill="accent3" w:themeFillTint="66"/>
            <w:vAlign w:val="center"/>
          </w:tcPr>
          <w:p w14:paraId="1E83BE33" w14:textId="77777777" w:rsidR="005E4DE8" w:rsidRPr="0090132B" w:rsidRDefault="005E4DE8" w:rsidP="0082797E">
            <w:pPr>
              <w:jc w:val="center"/>
              <w:rPr>
                <w:rFonts w:cs="Andalus"/>
              </w:rPr>
            </w:pPr>
            <w:r w:rsidRPr="0090132B">
              <w:rPr>
                <w:rFonts w:cs="Andalus"/>
              </w:rPr>
              <w:lastRenderedPageBreak/>
              <w:t>Le TFE est inaccessible aux étudiants en Mobilité</w:t>
            </w:r>
          </w:p>
        </w:tc>
        <w:tc>
          <w:tcPr>
            <w:tcW w:w="3545" w:type="pct"/>
            <w:gridSpan w:val="2"/>
          </w:tcPr>
          <w:p w14:paraId="3F245C5B" w14:textId="11F44A17" w:rsidR="005E4DE8" w:rsidRPr="0090132B" w:rsidRDefault="005E4DE8" w:rsidP="00016073">
            <w:r w:rsidRPr="0090132B">
              <w:rPr>
                <w:rFonts w:cs="Andalus"/>
              </w:rPr>
              <w:t>Si le Travail de Fin d’Études est</w:t>
            </w:r>
            <w:r w:rsidR="00D85E86" w:rsidRPr="0090132B">
              <w:rPr>
                <w:rFonts w:cs="Andalus"/>
              </w:rPr>
              <w:t xml:space="preserve"> </w:t>
            </w:r>
            <w:r w:rsidRPr="0090132B">
              <w:rPr>
                <w:rFonts w:cs="Andalus"/>
              </w:rPr>
              <w:t>inaccessible aux étudiants étrangers</w:t>
            </w:r>
            <w:r w:rsidR="008C7E04">
              <w:rPr>
                <w:rFonts w:cs="Andalus"/>
              </w:rPr>
              <w:t xml:space="preserve"> ou simplement non prévu au cursus (Canada)</w:t>
            </w:r>
            <w:r w:rsidRPr="0090132B">
              <w:rPr>
                <w:rFonts w:cs="Andalus"/>
              </w:rPr>
              <w:t>, l’étudiant prévoit de réaliser</w:t>
            </w:r>
            <w:r w:rsidR="00D67E34">
              <w:rPr>
                <w:rFonts w:cs="Andalus"/>
              </w:rPr>
              <w:t xml:space="preserve"> son </w:t>
            </w:r>
            <w:r w:rsidR="00B5062F">
              <w:rPr>
                <w:rFonts w:cs="Andalus"/>
              </w:rPr>
              <w:t>travail à distance (courriel, Teams…</w:t>
            </w:r>
            <w:r w:rsidR="002D60DF">
              <w:rPr>
                <w:rFonts w:cs="Andalus"/>
              </w:rPr>
              <w:t>) avec un promoteur de la HE</w:t>
            </w:r>
            <w:r w:rsidR="00D67E34">
              <w:rPr>
                <w:rFonts w:cs="Andalus"/>
              </w:rPr>
              <w:t xml:space="preserve">Ch (et un lecteur), en lien avec </w:t>
            </w:r>
            <w:r w:rsidR="006D660A" w:rsidRPr="0090132B">
              <w:rPr>
                <w:rFonts w:cs="Andalus"/>
              </w:rPr>
              <w:t xml:space="preserve">un </w:t>
            </w:r>
            <w:r w:rsidRPr="0090132B">
              <w:rPr>
                <w:rFonts w:cs="Andalus"/>
              </w:rPr>
              <w:t>cours de son programme</w:t>
            </w:r>
            <w:r w:rsidR="00D67E34">
              <w:rPr>
                <w:rFonts w:cs="Andalus"/>
              </w:rPr>
              <w:t xml:space="preserve"> à l’étranger, </w:t>
            </w:r>
            <w:r w:rsidR="006D660A" w:rsidRPr="0090132B">
              <w:rPr>
                <w:rFonts w:cs="Andalus"/>
              </w:rPr>
              <w:t xml:space="preserve">travail </w:t>
            </w:r>
            <w:r w:rsidR="002D60DF">
              <w:rPr>
                <w:rFonts w:cs="Andalus"/>
              </w:rPr>
              <w:t>qu’il défendra oralement à la HE</w:t>
            </w:r>
            <w:r w:rsidR="00D67E34">
              <w:rPr>
                <w:rFonts w:cs="Andalus"/>
              </w:rPr>
              <w:t>Ch à son retour de mobilité, soit en juin, soit en septembre, selon les contraintes du calendrier et l’état d’avancement du TFE</w:t>
            </w:r>
            <w:r w:rsidRPr="0090132B">
              <w:t>.</w:t>
            </w:r>
            <w:r w:rsidR="00D67E34">
              <w:t xml:space="preserve"> Il est impératif de se munir, avant le départ en mobilité, de tous les documents relatifs à la réalisation du TFE (Guide TFE, déclaration d’intention, contrat), et de prendre les contacts nécessaires av</w:t>
            </w:r>
            <w:r w:rsidR="00B5062F">
              <w:t xml:space="preserve">ec le promoteur pressenti. </w:t>
            </w:r>
          </w:p>
        </w:tc>
      </w:tr>
      <w:tr w:rsidR="00244D95" w:rsidRPr="0090132B" w14:paraId="623D41C0" w14:textId="77777777" w:rsidTr="006C39A0">
        <w:trPr>
          <w:gridAfter w:val="1"/>
          <w:wAfter w:w="4" w:type="pct"/>
          <w:jc w:val="center"/>
        </w:trPr>
        <w:tc>
          <w:tcPr>
            <w:tcW w:w="1451" w:type="pct"/>
            <w:shd w:val="clear" w:color="auto" w:fill="D6E3BC" w:themeFill="accent3" w:themeFillTint="66"/>
            <w:vAlign w:val="center"/>
          </w:tcPr>
          <w:p w14:paraId="707AFF10" w14:textId="77777777" w:rsidR="004979A1" w:rsidRDefault="00244D95" w:rsidP="0082797E">
            <w:pPr>
              <w:jc w:val="center"/>
              <w:rPr>
                <w:rFonts w:cs="Andalus"/>
              </w:rPr>
            </w:pPr>
            <w:r w:rsidRPr="0090132B">
              <w:rPr>
                <w:rFonts w:cs="Andalus"/>
              </w:rPr>
              <w:t>Ce qu’impliq</w:t>
            </w:r>
            <w:r w:rsidR="00981F77">
              <w:rPr>
                <w:rFonts w:cs="Andalus"/>
              </w:rPr>
              <w:t>ue une Mobilité d’un quadrimestre</w:t>
            </w:r>
            <w:r w:rsidRPr="0090132B">
              <w:rPr>
                <w:rFonts w:cs="Andalus"/>
              </w:rPr>
              <w:t xml:space="preserve"> </w:t>
            </w:r>
          </w:p>
          <w:p w14:paraId="3997F53C" w14:textId="4F8CF5B5" w:rsidR="00244D95" w:rsidRPr="0090132B" w:rsidRDefault="00016073" w:rsidP="0082797E">
            <w:pPr>
              <w:jc w:val="center"/>
              <w:rPr>
                <w:rFonts w:cs="Andalus"/>
              </w:rPr>
            </w:pPr>
            <w:r>
              <w:rPr>
                <w:rFonts w:cs="Andalus"/>
              </w:rPr>
              <w:t>(30 crédits</w:t>
            </w:r>
            <w:r w:rsidR="00244D95" w:rsidRPr="0090132B">
              <w:rPr>
                <w:rFonts w:cs="Andalus"/>
              </w:rPr>
              <w:t>)</w:t>
            </w:r>
          </w:p>
        </w:tc>
        <w:tc>
          <w:tcPr>
            <w:tcW w:w="3545" w:type="pct"/>
            <w:gridSpan w:val="2"/>
          </w:tcPr>
          <w:p w14:paraId="15A7D258" w14:textId="115829EA" w:rsidR="00244D95" w:rsidRPr="0090132B" w:rsidRDefault="00244D95" w:rsidP="00E90351">
            <w:pPr>
              <w:rPr>
                <w:rFonts w:cs="Andalus"/>
              </w:rPr>
            </w:pPr>
            <w:r w:rsidRPr="0090132B">
              <w:rPr>
                <w:rFonts w:cs="Andalus"/>
              </w:rPr>
              <w:t>Compt</w:t>
            </w:r>
            <w:r w:rsidR="00E90351">
              <w:rPr>
                <w:rFonts w:cs="Andalus"/>
              </w:rPr>
              <w:t>e tenu du caractère annuel (</w:t>
            </w:r>
            <w:r w:rsidR="00B5062F">
              <w:rPr>
                <w:rFonts w:cs="Andalus"/>
              </w:rPr>
              <w:t xml:space="preserve">TA </w:t>
            </w:r>
            <w:r w:rsidR="00E90351">
              <w:rPr>
                <w:rFonts w:cs="Andalus"/>
              </w:rPr>
              <w:t>= Q1 + Q2) de certaines Unités d’Ense</w:t>
            </w:r>
            <w:r w:rsidR="002D60DF">
              <w:rPr>
                <w:rFonts w:cs="Andalus"/>
              </w:rPr>
              <w:t>ignement dans le cursus de la HE</w:t>
            </w:r>
            <w:r w:rsidR="00E90351">
              <w:rPr>
                <w:rFonts w:cs="Andalus"/>
              </w:rPr>
              <w:t>Ch</w:t>
            </w:r>
            <w:r w:rsidRPr="0090132B">
              <w:rPr>
                <w:rFonts w:cs="Andalus"/>
              </w:rPr>
              <w:t>, l’ét</w:t>
            </w:r>
            <w:r w:rsidR="002D60DF">
              <w:rPr>
                <w:rFonts w:cs="Andalus"/>
              </w:rPr>
              <w:t xml:space="preserve">udiant </w:t>
            </w:r>
            <w:r w:rsidR="00E90351">
              <w:rPr>
                <w:rFonts w:cs="Andalus"/>
              </w:rPr>
              <w:t>suivra, à son retour, la moitié du module et</w:t>
            </w:r>
            <w:r w:rsidR="0061257E" w:rsidRPr="0090132B">
              <w:rPr>
                <w:rFonts w:cs="Andalus"/>
              </w:rPr>
              <w:t xml:space="preserve"> valoriser</w:t>
            </w:r>
            <w:r w:rsidR="00E90351">
              <w:rPr>
                <w:rFonts w:cs="Andalus"/>
              </w:rPr>
              <w:t xml:space="preserve">a </w:t>
            </w:r>
            <w:r w:rsidR="0000348D">
              <w:rPr>
                <w:rFonts w:cs="Andalus"/>
              </w:rPr>
              <w:t xml:space="preserve">donc </w:t>
            </w:r>
            <w:r w:rsidR="002D60DF">
              <w:rPr>
                <w:rFonts w:cs="Andalus"/>
              </w:rPr>
              <w:t xml:space="preserve">la fraction exacte </w:t>
            </w:r>
            <w:r w:rsidR="00E90351">
              <w:rPr>
                <w:rFonts w:cs="Andalus"/>
              </w:rPr>
              <w:t xml:space="preserve">des </w:t>
            </w:r>
            <w:r w:rsidR="00B5062F">
              <w:rPr>
                <w:rFonts w:cs="Andalus"/>
              </w:rPr>
              <w:t>crédits</w:t>
            </w:r>
            <w:r w:rsidR="00B27320" w:rsidRPr="0090132B">
              <w:rPr>
                <w:rFonts w:cs="Andalus"/>
              </w:rPr>
              <w:t>.</w:t>
            </w:r>
            <w:r w:rsidR="00E90351">
              <w:rPr>
                <w:rFonts w:cs="Andalus"/>
              </w:rPr>
              <w:t xml:space="preserve"> Un programme</w:t>
            </w:r>
            <w:r w:rsidR="00A85256">
              <w:rPr>
                <w:rFonts w:cs="Andalus"/>
              </w:rPr>
              <w:t xml:space="preserve"> adapté </w:t>
            </w:r>
            <w:r w:rsidR="00B5062F">
              <w:rPr>
                <w:rFonts w:cs="Andalus"/>
              </w:rPr>
              <w:t>et un calcul précis des crédits</w:t>
            </w:r>
            <w:r w:rsidR="00A85256">
              <w:rPr>
                <w:rFonts w:cs="Andalus"/>
              </w:rPr>
              <w:t xml:space="preserve"> sera </w:t>
            </w:r>
            <w:r w:rsidR="002D60DF">
              <w:rPr>
                <w:rFonts w:cs="Andalus"/>
              </w:rPr>
              <w:t xml:space="preserve">ainsi </w:t>
            </w:r>
            <w:r w:rsidR="00016073">
              <w:rPr>
                <w:rFonts w:cs="Andalus"/>
              </w:rPr>
              <w:t>réalisé par la coordinatrice pédagogique</w:t>
            </w:r>
            <w:r w:rsidR="002D60DF">
              <w:rPr>
                <w:rFonts w:cs="Andalus"/>
              </w:rPr>
              <w:t>. Le volet B figurant sur myhech, complété par Madame Pairoux lorsque le contrat d’études est définitif, indique les UE non suivies à la HECh.</w:t>
            </w:r>
            <w:r w:rsidR="00016073">
              <w:rPr>
                <w:rFonts w:cs="Andalus"/>
              </w:rPr>
              <w:t xml:space="preserve"> Madame Pairoux vous invite alors à valider ce volet durant votre séjour en mobilité.</w:t>
            </w:r>
          </w:p>
        </w:tc>
      </w:tr>
      <w:tr w:rsidR="0000559E" w:rsidRPr="0090132B" w14:paraId="0D1343C5" w14:textId="77777777" w:rsidTr="006C39A0">
        <w:trPr>
          <w:gridAfter w:val="1"/>
          <w:wAfter w:w="4" w:type="pct"/>
          <w:jc w:val="center"/>
        </w:trPr>
        <w:tc>
          <w:tcPr>
            <w:tcW w:w="1451" w:type="pct"/>
            <w:shd w:val="clear" w:color="auto" w:fill="D6E3BC" w:themeFill="accent3" w:themeFillTint="66"/>
            <w:vAlign w:val="center"/>
          </w:tcPr>
          <w:p w14:paraId="63103D09" w14:textId="77777777" w:rsidR="0000559E" w:rsidRPr="0090132B" w:rsidRDefault="0000559E" w:rsidP="0082797E">
            <w:pPr>
              <w:jc w:val="center"/>
              <w:rPr>
                <w:rFonts w:cs="Andalus"/>
              </w:rPr>
            </w:pPr>
            <w:r w:rsidRPr="0090132B">
              <w:rPr>
                <w:rFonts w:cs="Andalus"/>
              </w:rPr>
              <w:t>Conditions de modification de programme par l’étudiant avec l’accord des deux Institutions partenaires</w:t>
            </w:r>
          </w:p>
        </w:tc>
        <w:tc>
          <w:tcPr>
            <w:tcW w:w="3545" w:type="pct"/>
            <w:gridSpan w:val="2"/>
          </w:tcPr>
          <w:p w14:paraId="01027DC1" w14:textId="4B4B0033" w:rsidR="0000559E" w:rsidRPr="00A040C2" w:rsidRDefault="0000559E" w:rsidP="00FD7E6F">
            <w:pPr>
              <w:rPr>
                <w:rFonts w:cs="Andalus"/>
              </w:rPr>
            </w:pPr>
            <w:r w:rsidRPr="00A040C2">
              <w:rPr>
                <w:rFonts w:cs="Andalus"/>
              </w:rPr>
              <w:t>En cas de conflit d’horaire constaté sur place</w:t>
            </w:r>
            <w:r w:rsidR="006917C1" w:rsidRPr="00A040C2">
              <w:rPr>
                <w:rFonts w:cs="Andalus"/>
              </w:rPr>
              <w:t xml:space="preserve"> (notamment lorsque des cours se donnent sur des sites géographiques différents)</w:t>
            </w:r>
            <w:r w:rsidRPr="00A040C2">
              <w:rPr>
                <w:rFonts w:cs="Andalus"/>
              </w:rPr>
              <w:t xml:space="preserve"> ou d’inadéquation d’une discipline par rapport à la formation de l’étudian</w:t>
            </w:r>
            <w:r w:rsidR="00E90351" w:rsidRPr="00A040C2">
              <w:rPr>
                <w:rFonts w:cs="Andalus"/>
              </w:rPr>
              <w:t>t</w:t>
            </w:r>
            <w:r w:rsidR="0007602F" w:rsidRPr="00A040C2">
              <w:rPr>
                <w:rFonts w:cs="Andalus"/>
              </w:rPr>
              <w:t xml:space="preserve">, et sur </w:t>
            </w:r>
            <w:r w:rsidR="00386CCE">
              <w:rPr>
                <w:rFonts w:cs="Andalus"/>
              </w:rPr>
              <w:t xml:space="preserve">la </w:t>
            </w:r>
            <w:r w:rsidRPr="00A040C2">
              <w:rPr>
                <w:rFonts w:cs="Andalus"/>
              </w:rPr>
              <w:t>base d’un commentaire précis de l’étudiant justifiant toute demande de changement, les modifications pour les cours du 1</w:t>
            </w:r>
            <w:r w:rsidRPr="00A040C2">
              <w:rPr>
                <w:rFonts w:cs="Andalus"/>
                <w:vertAlign w:val="superscript"/>
              </w:rPr>
              <w:t>er</w:t>
            </w:r>
            <w:r w:rsidR="00A85256" w:rsidRPr="00A040C2">
              <w:rPr>
                <w:rFonts w:cs="Andalus"/>
              </w:rPr>
              <w:t xml:space="preserve"> semestre </w:t>
            </w:r>
            <w:r w:rsidR="003E7CE8" w:rsidRPr="00A040C2">
              <w:rPr>
                <w:rFonts w:cs="Andalus"/>
              </w:rPr>
              <w:t>sont admises jusqu’au</w:t>
            </w:r>
            <w:r w:rsidR="003E7CE8" w:rsidRPr="00A040C2">
              <w:rPr>
                <w:rFonts w:cs="Andalus"/>
                <w:color w:val="FF0000"/>
              </w:rPr>
              <w:t xml:space="preserve"> </w:t>
            </w:r>
            <w:r w:rsidR="0014439C">
              <w:rPr>
                <w:rFonts w:cs="Andalus"/>
                <w:b/>
              </w:rPr>
              <w:t>15</w:t>
            </w:r>
            <w:r w:rsidRPr="00A040C2">
              <w:rPr>
                <w:rFonts w:cs="Andalus"/>
                <w:b/>
              </w:rPr>
              <w:t xml:space="preserve"> </w:t>
            </w:r>
            <w:r w:rsidR="00FD7E6F" w:rsidRPr="00A040C2">
              <w:rPr>
                <w:rFonts w:cs="Andalus"/>
                <w:b/>
              </w:rPr>
              <w:t>/10</w:t>
            </w:r>
            <w:r w:rsidRPr="00A040C2">
              <w:rPr>
                <w:rFonts w:cs="Andalus"/>
              </w:rPr>
              <w:t xml:space="preserve"> ; celles du second semestre doivent être notifiées avant le </w:t>
            </w:r>
            <w:r w:rsidRPr="00A040C2">
              <w:rPr>
                <w:rFonts w:cs="Andalus"/>
                <w:b/>
              </w:rPr>
              <w:t>15/</w:t>
            </w:r>
            <w:r w:rsidR="00025B64" w:rsidRPr="00A040C2">
              <w:rPr>
                <w:rFonts w:cs="Andalus"/>
                <w:b/>
              </w:rPr>
              <w:t>0</w:t>
            </w:r>
            <w:r w:rsidRPr="00A040C2">
              <w:rPr>
                <w:rFonts w:cs="Andalus"/>
                <w:b/>
              </w:rPr>
              <w:t>2</w:t>
            </w:r>
            <w:r w:rsidRPr="00A040C2">
              <w:rPr>
                <w:rFonts w:cs="Andalus"/>
              </w:rPr>
              <w:t>.</w:t>
            </w:r>
            <w:r w:rsidR="0007602F" w:rsidRPr="00A040C2">
              <w:rPr>
                <w:rFonts w:cs="Andalus"/>
              </w:rPr>
              <w:t xml:space="preserve"> </w:t>
            </w:r>
            <w:r w:rsidR="00016073">
              <w:rPr>
                <w:rFonts w:cs="Andalus"/>
              </w:rPr>
              <w:t xml:space="preserve">L’étudiant doit </w:t>
            </w:r>
            <w:r w:rsidR="00016073" w:rsidRPr="00764422">
              <w:rPr>
                <w:rFonts w:cs="Andalus"/>
                <w:u w:val="single"/>
              </w:rPr>
              <w:t xml:space="preserve">d’abord </w:t>
            </w:r>
            <w:r w:rsidR="00016073">
              <w:rPr>
                <w:rFonts w:cs="Andalus"/>
              </w:rPr>
              <w:t xml:space="preserve">contacter le coordinateur de l’institution d’accueil pour signaler le </w:t>
            </w:r>
            <w:r w:rsidR="00016073">
              <w:rPr>
                <w:rFonts w:cs="Andalus"/>
              </w:rPr>
              <w:lastRenderedPageBreak/>
              <w:t>souci et tenter d’y apporter une solution (par exemple, le coordinateur externe va proposer une alternative de cours). La grille de convergence qui vous est remise comporte fréquemment des alternatives pour certains cours, vous pouvez donc envisager de mo</w:t>
            </w:r>
            <w:r w:rsidR="00764422">
              <w:rPr>
                <w:rFonts w:cs="Andalus"/>
              </w:rPr>
              <w:t>difier votre choix à partir des propositions. Dans tous les cas, l</w:t>
            </w:r>
            <w:r w:rsidR="0007602F" w:rsidRPr="00A040C2">
              <w:rPr>
                <w:rFonts w:cs="Andalus"/>
              </w:rPr>
              <w:t>’étudiant</w:t>
            </w:r>
            <w:r w:rsidR="00764422">
              <w:rPr>
                <w:rFonts w:cs="Andalus"/>
              </w:rPr>
              <w:t xml:space="preserve"> doit</w:t>
            </w:r>
            <w:r w:rsidR="0007602F" w:rsidRPr="00A040C2">
              <w:rPr>
                <w:rFonts w:cs="Andalus"/>
              </w:rPr>
              <w:t xml:space="preserve"> adresse</w:t>
            </w:r>
            <w:r w:rsidR="00764422">
              <w:rPr>
                <w:rFonts w:cs="Andalus"/>
              </w:rPr>
              <w:t>r</w:t>
            </w:r>
            <w:r w:rsidR="0007602F" w:rsidRPr="00A040C2">
              <w:rPr>
                <w:rFonts w:cs="Andalus"/>
              </w:rPr>
              <w:t xml:space="preserve"> sa demande</w:t>
            </w:r>
            <w:r w:rsidR="00764422">
              <w:rPr>
                <w:rFonts w:cs="Andalus"/>
              </w:rPr>
              <w:t xml:space="preserve"> motivée à l</w:t>
            </w:r>
            <w:r w:rsidR="0007602F" w:rsidRPr="00A040C2">
              <w:rPr>
                <w:rFonts w:cs="Andalus"/>
              </w:rPr>
              <w:t>a coordin</w:t>
            </w:r>
            <w:r w:rsidR="00764422">
              <w:rPr>
                <w:rFonts w:cs="Andalus"/>
              </w:rPr>
              <w:t>atrice pédagogique par courriel.</w:t>
            </w:r>
          </w:p>
          <w:p w14:paraId="579F15C6" w14:textId="7D861CCD" w:rsidR="009D31BA" w:rsidRPr="0090132B" w:rsidRDefault="005E0232" w:rsidP="0007602F">
            <w:pPr>
              <w:rPr>
                <w:rFonts w:cs="Andalus"/>
              </w:rPr>
            </w:pPr>
            <w:r w:rsidRPr="00A040C2">
              <w:rPr>
                <w:rFonts w:cs="Andalus"/>
              </w:rPr>
              <w:t>Pour être rendues officielles, les modifications</w:t>
            </w:r>
            <w:r w:rsidR="00C4172E" w:rsidRPr="00A040C2">
              <w:rPr>
                <w:rFonts w:cs="Andalus"/>
              </w:rPr>
              <w:t xml:space="preserve"> du contrat d’études</w:t>
            </w:r>
            <w:r w:rsidRPr="00A040C2">
              <w:rPr>
                <w:rFonts w:cs="Andalus"/>
              </w:rPr>
              <w:t xml:space="preserve"> seront effectuées électroniquement et validées</w:t>
            </w:r>
            <w:r w:rsidR="00C4172E" w:rsidRPr="00A040C2">
              <w:rPr>
                <w:rFonts w:cs="Andalus"/>
              </w:rPr>
              <w:t xml:space="preserve"> par l’étudiant, approuvées ensuite</w:t>
            </w:r>
            <w:r w:rsidR="00025B64" w:rsidRPr="00A040C2">
              <w:rPr>
                <w:rFonts w:cs="Andalus"/>
              </w:rPr>
              <w:t xml:space="preserve"> </w:t>
            </w:r>
            <w:r w:rsidR="009D31BA" w:rsidRPr="00A040C2">
              <w:rPr>
                <w:rFonts w:cs="Andalus"/>
              </w:rPr>
              <w:t>par les coordinateurs</w:t>
            </w:r>
            <w:r w:rsidR="00111586" w:rsidRPr="00A040C2">
              <w:rPr>
                <w:rFonts w:cs="Andalus"/>
              </w:rPr>
              <w:t xml:space="preserve"> pédagogiques des deux institutions partenaires</w:t>
            </w:r>
            <w:r w:rsidR="0007602F" w:rsidRPr="00A040C2">
              <w:rPr>
                <w:rFonts w:cs="Andalus"/>
              </w:rPr>
              <w:t xml:space="preserve"> qui reçoivent une notification automatique</w:t>
            </w:r>
            <w:r w:rsidR="00111586" w:rsidRPr="00A040C2">
              <w:rPr>
                <w:rFonts w:cs="Andalus"/>
              </w:rPr>
              <w:t xml:space="preserve"> et ce, dans les plus brefs délais qui suivent l’amendement.</w:t>
            </w:r>
            <w:r w:rsidR="004B6308" w:rsidRPr="00A040C2">
              <w:rPr>
                <w:rFonts w:cs="Andalus"/>
              </w:rPr>
              <w:t xml:space="preserve"> </w:t>
            </w:r>
            <w:r w:rsidR="00025B64" w:rsidRPr="00A040C2">
              <w:rPr>
                <w:rFonts w:ascii="Calibri" w:hAnsi="Calibri" w:cs="Calibri"/>
                <w:color w:val="000000"/>
              </w:rPr>
              <w:t>C’est sur base du contrat d’études définitif q</w:t>
            </w:r>
            <w:r w:rsidR="00016073">
              <w:rPr>
                <w:rFonts w:ascii="Calibri" w:hAnsi="Calibri" w:cs="Calibri"/>
                <w:color w:val="000000"/>
              </w:rPr>
              <w:t>ue seront validés les crédits</w:t>
            </w:r>
            <w:r w:rsidR="00025B64" w:rsidRPr="00A040C2">
              <w:rPr>
                <w:rFonts w:ascii="Calibri" w:hAnsi="Calibri" w:cs="Calibri"/>
                <w:color w:val="000000"/>
              </w:rPr>
              <w:t xml:space="preserve"> à l’issue de la mobilité (reconnaissance académique).</w:t>
            </w:r>
            <w:r w:rsidR="0091338A">
              <w:rPr>
                <w:rFonts w:ascii="Calibri" w:hAnsi="Calibri" w:cs="Calibri"/>
                <w:color w:val="000000"/>
              </w:rPr>
              <w:t xml:space="preserve"> </w:t>
            </w:r>
          </w:p>
        </w:tc>
      </w:tr>
      <w:tr w:rsidR="00744C9E" w:rsidRPr="0090132B" w14:paraId="5CC53C55" w14:textId="77777777" w:rsidTr="006C39A0">
        <w:trPr>
          <w:gridAfter w:val="1"/>
          <w:wAfter w:w="4" w:type="pct"/>
          <w:jc w:val="center"/>
        </w:trPr>
        <w:tc>
          <w:tcPr>
            <w:tcW w:w="1451" w:type="pct"/>
            <w:shd w:val="clear" w:color="auto" w:fill="D6E3BC" w:themeFill="accent3" w:themeFillTint="66"/>
            <w:vAlign w:val="center"/>
          </w:tcPr>
          <w:p w14:paraId="371B9EA7" w14:textId="77777777" w:rsidR="00744C9E" w:rsidRDefault="00744C9E" w:rsidP="0082797E">
            <w:pPr>
              <w:jc w:val="center"/>
            </w:pPr>
            <w:r w:rsidRPr="00033781">
              <w:lastRenderedPageBreak/>
              <w:t>Exigences spécifiques pour certains partenaires / Considérations pratiques pour l’organisation du séjour</w:t>
            </w:r>
          </w:p>
          <w:p w14:paraId="39A24E73" w14:textId="77777777" w:rsidR="0098254B" w:rsidRPr="00033781" w:rsidRDefault="0098254B" w:rsidP="0082797E">
            <w:pPr>
              <w:jc w:val="center"/>
            </w:pPr>
            <w:r>
              <w:t>(Liste non exhaustive)</w:t>
            </w:r>
          </w:p>
        </w:tc>
        <w:tc>
          <w:tcPr>
            <w:tcW w:w="3545" w:type="pct"/>
            <w:gridSpan w:val="2"/>
          </w:tcPr>
          <w:p w14:paraId="22A86D31" w14:textId="050F6654" w:rsidR="0091338A" w:rsidRPr="0091338A" w:rsidRDefault="0091338A" w:rsidP="00B414E0">
            <w:pPr>
              <w:rPr>
                <w:rFonts w:cs="Andalus"/>
              </w:rPr>
            </w:pPr>
            <w:r>
              <w:rPr>
                <w:rFonts w:cs="Andalus"/>
                <w:b/>
              </w:rPr>
              <w:t xml:space="preserve">-&gt; DESTINATIONS A RENTREE ACADEMIQUE PRECOCE : </w:t>
            </w:r>
            <w:r>
              <w:rPr>
                <w:rFonts w:cs="Andalus"/>
              </w:rPr>
              <w:t>avoir ré</w:t>
            </w:r>
            <w:r w:rsidR="00764422">
              <w:rPr>
                <w:rFonts w:cs="Andalus"/>
              </w:rPr>
              <w:t>ussi impérativement les 120 crédits</w:t>
            </w:r>
            <w:r>
              <w:rPr>
                <w:rFonts w:cs="Andalus"/>
              </w:rPr>
              <w:t xml:space="preserve"> à l’issue de la session de </w:t>
            </w:r>
            <w:r w:rsidRPr="000D1E50">
              <w:rPr>
                <w:rFonts w:cs="Andalus"/>
                <w:b/>
              </w:rPr>
              <w:t>juin</w:t>
            </w:r>
            <w:r>
              <w:rPr>
                <w:rFonts w:cs="Andalus"/>
              </w:rPr>
              <w:t>, sans quoi le départ en mobilité doit être annulé</w:t>
            </w:r>
            <w:r w:rsidR="00B11C9C">
              <w:rPr>
                <w:rFonts w:cs="Andalus"/>
              </w:rPr>
              <w:t> ;</w:t>
            </w:r>
          </w:p>
          <w:p w14:paraId="3271BB5B" w14:textId="77777777" w:rsidR="0091338A" w:rsidRDefault="0091338A" w:rsidP="00B414E0">
            <w:pPr>
              <w:rPr>
                <w:rFonts w:cs="Andalus"/>
              </w:rPr>
            </w:pPr>
            <w:r>
              <w:rPr>
                <w:rFonts w:cs="Andalus"/>
                <w:b/>
              </w:rPr>
              <w:t>-&gt;</w:t>
            </w:r>
            <w:r w:rsidRPr="00034178">
              <w:rPr>
                <w:rFonts w:cs="Andalus"/>
                <w:b/>
              </w:rPr>
              <w:t xml:space="preserve"> ERASMUS BELGICA HOGent</w:t>
            </w:r>
            <w:r>
              <w:rPr>
                <w:rFonts w:cs="Andalus"/>
              </w:rPr>
              <w:t> : mobilité possible seulement au premier quadrimestre</w:t>
            </w:r>
            <w:r w:rsidR="00B11C9C">
              <w:rPr>
                <w:rFonts w:cs="Andalus"/>
              </w:rPr>
              <w:t> ;</w:t>
            </w:r>
          </w:p>
          <w:p w14:paraId="502D61A2" w14:textId="77777777" w:rsidR="006834B6" w:rsidRDefault="006834B6" w:rsidP="00B414E0">
            <w:pPr>
              <w:rPr>
                <w:rFonts w:cs="Andalus"/>
              </w:rPr>
            </w:pPr>
            <w:r w:rsidRPr="006834B6">
              <w:rPr>
                <w:rFonts w:cs="Andalus"/>
                <w:b/>
              </w:rPr>
              <w:t>-&gt; ERASMUS BELGICA VIVES Brugge</w:t>
            </w:r>
            <w:r>
              <w:rPr>
                <w:rFonts w:cs="Andalus"/>
              </w:rPr>
              <w:t> : mobilité possible seulement au deuxième quadrimestre</w:t>
            </w:r>
          </w:p>
          <w:p w14:paraId="780759F1" w14:textId="77777777" w:rsidR="006834B6" w:rsidRDefault="006834B6" w:rsidP="00B414E0">
            <w:pPr>
              <w:rPr>
                <w:rFonts w:cs="Andalus"/>
              </w:rPr>
            </w:pPr>
            <w:r w:rsidRPr="006834B6">
              <w:rPr>
                <w:rFonts w:cs="Andalus"/>
                <w:b/>
              </w:rPr>
              <w:t>-&gt; ERASMUS Université de Nice (ESPE</w:t>
            </w:r>
            <w:r>
              <w:rPr>
                <w:rFonts w:cs="Andalus"/>
              </w:rPr>
              <w:t>) : mobilité possible seulement au premier quadrimestre</w:t>
            </w:r>
          </w:p>
          <w:p w14:paraId="4D126770" w14:textId="77777777" w:rsidR="002D60DF" w:rsidRPr="002D60DF" w:rsidRDefault="002D60DF" w:rsidP="00B414E0">
            <w:pPr>
              <w:rPr>
                <w:rFonts w:cs="Andalus"/>
              </w:rPr>
            </w:pPr>
            <w:r w:rsidRPr="002D60DF">
              <w:rPr>
                <w:rFonts w:cs="Andalus"/>
                <w:b/>
              </w:rPr>
              <w:t>-&gt;</w:t>
            </w:r>
            <w:r>
              <w:rPr>
                <w:rFonts w:cs="Andalus"/>
                <w:b/>
              </w:rPr>
              <w:t xml:space="preserve"> MOBILITE SEMP EN SUISSE (Fribourg et Lausanne)</w:t>
            </w:r>
            <w:r w:rsidRPr="002D60DF">
              <w:rPr>
                <w:rFonts w:cs="Andalus"/>
              </w:rPr>
              <w:t> :</w:t>
            </w:r>
            <w:r>
              <w:rPr>
                <w:rFonts w:cs="Andalus"/>
                <w:b/>
              </w:rPr>
              <w:t xml:space="preserve"> </w:t>
            </w:r>
            <w:r w:rsidRPr="002D60DF">
              <w:rPr>
                <w:rFonts w:cs="Andalus"/>
              </w:rPr>
              <w:t>mobilité possible seulement au premier quadrimestre</w:t>
            </w:r>
          </w:p>
          <w:p w14:paraId="56171B50" w14:textId="77777777" w:rsidR="00B414E0" w:rsidRDefault="0091338A" w:rsidP="00B414E0">
            <w:pPr>
              <w:rPr>
                <w:rFonts w:cs="Andalus"/>
                <w:b/>
              </w:rPr>
            </w:pPr>
            <w:r>
              <w:rPr>
                <w:rFonts w:cs="Andalus"/>
                <w:b/>
              </w:rPr>
              <w:t>-&gt;</w:t>
            </w:r>
            <w:r w:rsidR="002D60DF">
              <w:rPr>
                <w:rFonts w:cs="Andalus"/>
                <w:b/>
              </w:rPr>
              <w:t xml:space="preserve"> </w:t>
            </w:r>
            <w:r w:rsidR="00AF294D">
              <w:rPr>
                <w:rFonts w:cs="Andalus"/>
                <w:b/>
              </w:rPr>
              <w:t xml:space="preserve">CANADA : </w:t>
            </w:r>
            <w:r w:rsidR="00B414E0">
              <w:rPr>
                <w:rFonts w:cs="Andalus"/>
                <w:b/>
              </w:rPr>
              <w:t xml:space="preserve">Université de </w:t>
            </w:r>
            <w:r w:rsidR="00AF294D">
              <w:rPr>
                <w:rFonts w:cs="Andalus"/>
                <w:b/>
              </w:rPr>
              <w:t xml:space="preserve">Moncton, New-Brunswick </w:t>
            </w:r>
            <w:r w:rsidR="00025B64">
              <w:rPr>
                <w:rFonts w:cs="Andalus"/>
                <w:b/>
              </w:rPr>
              <w:t xml:space="preserve">(PP, PS, AESI) </w:t>
            </w:r>
          </w:p>
          <w:p w14:paraId="4F7FADEB" w14:textId="77777777" w:rsidR="00B414E0" w:rsidRDefault="00B414E0" w:rsidP="00B414E0">
            <w:pPr>
              <w:rPr>
                <w:rFonts w:cs="Andalus"/>
              </w:rPr>
            </w:pPr>
            <w:r w:rsidRPr="002D60DF">
              <w:rPr>
                <w:rFonts w:cs="Andalus"/>
              </w:rPr>
              <w:t xml:space="preserve">- </w:t>
            </w:r>
            <w:r w:rsidR="00B2159B">
              <w:rPr>
                <w:rFonts w:cs="Andalus"/>
              </w:rPr>
              <w:t>la langue d’enseignement est le français, mais régio</w:t>
            </w:r>
            <w:r>
              <w:rPr>
                <w:rFonts w:cs="Andalus"/>
              </w:rPr>
              <w:t>n</w:t>
            </w:r>
            <w:r w:rsidR="00983F39">
              <w:rPr>
                <w:rFonts w:cs="Andalus"/>
              </w:rPr>
              <w:t>s</w:t>
            </w:r>
            <w:r>
              <w:rPr>
                <w:rFonts w:cs="Andalus"/>
              </w:rPr>
              <w:t xml:space="preserve"> bilingue</w:t>
            </w:r>
            <w:r w:rsidR="00983F39">
              <w:rPr>
                <w:rFonts w:cs="Andalus"/>
              </w:rPr>
              <w:t>s</w:t>
            </w:r>
            <w:r>
              <w:rPr>
                <w:rFonts w:cs="Andalus"/>
              </w:rPr>
              <w:t>, anglais-français</w:t>
            </w:r>
            <w:r w:rsidR="00336B44">
              <w:rPr>
                <w:rFonts w:cs="Andalus"/>
              </w:rPr>
              <w:t>,</w:t>
            </w:r>
            <w:r w:rsidR="00B2159B">
              <w:rPr>
                <w:rFonts w:cs="Andalus"/>
              </w:rPr>
              <w:t xml:space="preserve"> </w:t>
            </w:r>
            <w:r w:rsidR="0098254B" w:rsidRPr="0082797E">
              <w:rPr>
                <w:rFonts w:cs="Andalus"/>
                <w:b/>
              </w:rPr>
              <w:t>niveau d’</w:t>
            </w:r>
            <w:r w:rsidR="00CC4E32" w:rsidRPr="0082797E">
              <w:rPr>
                <w:rFonts w:cs="Andalus"/>
                <w:b/>
              </w:rPr>
              <w:t>anglais A2</w:t>
            </w:r>
            <w:r w:rsidR="0098254B">
              <w:rPr>
                <w:rFonts w:cs="Andalus"/>
              </w:rPr>
              <w:t xml:space="preserve"> exigé</w:t>
            </w:r>
            <w:r w:rsidR="00323D90">
              <w:rPr>
                <w:rFonts w:cs="Andalus"/>
              </w:rPr>
              <w:t>.</w:t>
            </w:r>
            <w:r>
              <w:rPr>
                <w:rFonts w:cs="Andalus"/>
                <w:b/>
              </w:rPr>
              <w:t xml:space="preserve"> </w:t>
            </w:r>
          </w:p>
          <w:p w14:paraId="703FF2C0" w14:textId="77777777" w:rsidR="008C7E04" w:rsidRDefault="008C7E04" w:rsidP="008C7E04">
            <w:pPr>
              <w:rPr>
                <w:rFonts w:cs="Andalus"/>
              </w:rPr>
            </w:pPr>
            <w:r>
              <w:rPr>
                <w:rFonts w:cs="Andalus"/>
              </w:rPr>
              <w:t>- Dossier d’admission très détaillé, à compléter (voir contenu auprès du BRI, Mme Pairoux) et</w:t>
            </w:r>
            <w:r w:rsidR="00386CCE">
              <w:rPr>
                <w:rFonts w:cs="Andalus"/>
              </w:rPr>
              <w:t xml:space="preserve"> à renvoyer pour le 30 avril </w:t>
            </w:r>
            <w:r w:rsidR="00983F39">
              <w:rPr>
                <w:rFonts w:cs="Andalus"/>
              </w:rPr>
              <w:t>au plus tard</w:t>
            </w:r>
            <w:r w:rsidR="00323D90">
              <w:rPr>
                <w:rFonts w:cs="Andalus"/>
              </w:rPr>
              <w:t>.</w:t>
            </w:r>
          </w:p>
          <w:p w14:paraId="60509C8B" w14:textId="4283C5CC" w:rsidR="00744C9E" w:rsidRDefault="008C7E04" w:rsidP="00B414E0">
            <w:pPr>
              <w:rPr>
                <w:rFonts w:cs="Andalus"/>
              </w:rPr>
            </w:pPr>
            <w:r>
              <w:rPr>
                <w:rFonts w:cs="Andalus"/>
              </w:rPr>
              <w:t xml:space="preserve">- </w:t>
            </w:r>
            <w:r w:rsidR="00B414E0">
              <w:rPr>
                <w:rFonts w:cs="Andalus"/>
              </w:rPr>
              <w:t>Démarches pour l’obtention du passeport et du visa</w:t>
            </w:r>
            <w:r w:rsidR="0098254B">
              <w:rPr>
                <w:rFonts w:cs="Andalus"/>
              </w:rPr>
              <w:t xml:space="preserve"> assez longues</w:t>
            </w:r>
            <w:r w:rsidR="00764422">
              <w:rPr>
                <w:rFonts w:cs="Andalus"/>
              </w:rPr>
              <w:t xml:space="preserve"> (vérifier délais) et nécessitant un déplacement à l’étranger (Données biométriques à Paris ou Düsseldorf).</w:t>
            </w:r>
          </w:p>
          <w:p w14:paraId="0F9276D0" w14:textId="7AFB10AB" w:rsidR="0098254B" w:rsidRDefault="0098254B" w:rsidP="00B414E0">
            <w:pPr>
              <w:rPr>
                <w:rFonts w:cs="Andalus"/>
              </w:rPr>
            </w:pPr>
            <w:r>
              <w:rPr>
                <w:rFonts w:cs="Andalus"/>
              </w:rPr>
              <w:t>- Rentrée académique</w:t>
            </w:r>
            <w:r w:rsidR="00983F39">
              <w:rPr>
                <w:rFonts w:cs="Andalus"/>
              </w:rPr>
              <w:t xml:space="preserve"> </w:t>
            </w:r>
            <w:r>
              <w:rPr>
                <w:rFonts w:cs="Andalus"/>
              </w:rPr>
              <w:t>fin août</w:t>
            </w:r>
            <w:r w:rsidR="00A64311">
              <w:rPr>
                <w:rFonts w:cs="Andalus"/>
              </w:rPr>
              <w:t xml:space="preserve">, </w:t>
            </w:r>
            <w:r w:rsidR="007864EA">
              <w:rPr>
                <w:rFonts w:cs="Andalus"/>
              </w:rPr>
              <w:t>l’étudiant do</w:t>
            </w:r>
            <w:r w:rsidR="00A64311">
              <w:rPr>
                <w:rFonts w:cs="Andalus"/>
              </w:rPr>
              <w:t>it prév</w:t>
            </w:r>
            <w:r w:rsidR="00764422">
              <w:rPr>
                <w:rFonts w:cs="Andalus"/>
              </w:rPr>
              <w:t xml:space="preserve">oir d’être sur place </w:t>
            </w:r>
            <w:r w:rsidR="00764422" w:rsidRPr="00764422">
              <w:rPr>
                <w:rFonts w:cs="Andalus"/>
                <w:u w:val="single"/>
              </w:rPr>
              <w:t>au minimum une semaine</w:t>
            </w:r>
            <w:r w:rsidR="007864EA">
              <w:rPr>
                <w:rFonts w:cs="Andalus"/>
              </w:rPr>
              <w:t xml:space="preserve"> avant la rentrée</w:t>
            </w:r>
            <w:r w:rsidR="007042D0">
              <w:rPr>
                <w:rFonts w:cs="Andalus"/>
              </w:rPr>
              <w:t xml:space="preserve"> </w:t>
            </w:r>
            <w:r w:rsidR="007864EA">
              <w:rPr>
                <w:rFonts w:cs="Andalus"/>
              </w:rPr>
              <w:t>afin de s’inscrire dans les différents cours choisis (nombre limité d’étudiants/cours)</w:t>
            </w:r>
            <w:r w:rsidR="00764422">
              <w:rPr>
                <w:rFonts w:cs="Andalus"/>
              </w:rPr>
              <w:t xml:space="preserve"> et participer aux éventuelles activités d’accueil.</w:t>
            </w:r>
          </w:p>
          <w:p w14:paraId="00E4B5C6" w14:textId="41C23144" w:rsidR="008C7E04" w:rsidRDefault="008C7E04" w:rsidP="00B414E0">
            <w:pPr>
              <w:rPr>
                <w:rFonts w:cs="Andalus"/>
              </w:rPr>
            </w:pPr>
            <w:r>
              <w:rPr>
                <w:rFonts w:cs="Andalus"/>
              </w:rPr>
              <w:t xml:space="preserve">- </w:t>
            </w:r>
            <w:r w:rsidR="007042D0" w:rsidRPr="00323D90">
              <w:rPr>
                <w:rFonts w:cs="Andalus"/>
                <w:u w:val="single"/>
              </w:rPr>
              <w:t>A Moncton</w:t>
            </w:r>
            <w:r w:rsidR="007042D0">
              <w:rPr>
                <w:rFonts w:cs="Andalus"/>
              </w:rPr>
              <w:t>, les s</w:t>
            </w:r>
            <w:r>
              <w:rPr>
                <w:rFonts w:cs="Andalus"/>
              </w:rPr>
              <w:t>tages n</w:t>
            </w:r>
            <w:r w:rsidR="002D60DF">
              <w:rPr>
                <w:rFonts w:cs="Andalus"/>
              </w:rPr>
              <w:t xml:space="preserve">e sont </w:t>
            </w:r>
            <w:r w:rsidR="007042D0">
              <w:rPr>
                <w:rFonts w:cs="Andalus"/>
              </w:rPr>
              <w:t xml:space="preserve">pas </w:t>
            </w:r>
            <w:r>
              <w:rPr>
                <w:rFonts w:cs="Andalus"/>
              </w:rPr>
              <w:t>inclus</w:t>
            </w:r>
            <w:r w:rsidR="001A75DC">
              <w:rPr>
                <w:rFonts w:cs="Andalus"/>
              </w:rPr>
              <w:t xml:space="preserve"> dans les semestres académiques</w:t>
            </w:r>
            <w:r w:rsidR="00764422">
              <w:rPr>
                <w:rFonts w:cs="Andalus"/>
              </w:rPr>
              <w:t xml:space="preserve"> (fin des cours et examens le 30 avril)</w:t>
            </w:r>
            <w:r w:rsidR="001A75DC">
              <w:rPr>
                <w:rFonts w:cs="Andalus"/>
              </w:rPr>
              <w:t> :</w:t>
            </w:r>
            <w:r>
              <w:rPr>
                <w:rFonts w:cs="Andalus"/>
              </w:rPr>
              <w:t xml:space="preserve"> </w:t>
            </w:r>
            <w:r w:rsidR="007042D0">
              <w:rPr>
                <w:rFonts w:cs="Andalus"/>
              </w:rPr>
              <w:t xml:space="preserve">ils </w:t>
            </w:r>
            <w:r>
              <w:rPr>
                <w:rFonts w:cs="Andalus"/>
              </w:rPr>
              <w:t>se déroulent en mai, donc prévoir cet allongement de séjour</w:t>
            </w:r>
            <w:r w:rsidR="00F375F0">
              <w:rPr>
                <w:rFonts w:cs="Andalus"/>
              </w:rPr>
              <w:t>.</w:t>
            </w:r>
            <w:r w:rsidR="002D60DF">
              <w:rPr>
                <w:rFonts w:cs="Andalus"/>
              </w:rPr>
              <w:t xml:space="preserve"> Le TFE</w:t>
            </w:r>
            <w:r w:rsidR="00764422">
              <w:rPr>
                <w:rFonts w:cs="Andalus"/>
              </w:rPr>
              <w:t xml:space="preserve"> n’es</w:t>
            </w:r>
            <w:r w:rsidR="006F4DEC">
              <w:rPr>
                <w:rFonts w:cs="Andalus"/>
              </w:rPr>
              <w:t>t pas effectué sur place.</w:t>
            </w:r>
          </w:p>
          <w:p w14:paraId="611E26D9" w14:textId="540B71D7" w:rsidR="00034178" w:rsidRPr="00034178" w:rsidRDefault="007864EA" w:rsidP="0091338A">
            <w:r>
              <w:rPr>
                <w:rFonts w:cs="Andalus"/>
              </w:rPr>
              <w:t xml:space="preserve">-Une </w:t>
            </w:r>
            <w:r w:rsidRPr="00323D90">
              <w:rPr>
                <w:rFonts w:cs="Andalus"/>
                <w:b/>
              </w:rPr>
              <w:t>assurance médicale canadienne</w:t>
            </w:r>
            <w:r w:rsidR="007876A0">
              <w:rPr>
                <w:rFonts w:cs="Andalus"/>
              </w:rPr>
              <w:t xml:space="preserve"> « Guard me »</w:t>
            </w:r>
            <w:r>
              <w:rPr>
                <w:rFonts w:cs="Andalus"/>
              </w:rPr>
              <w:t xml:space="preserve"> est à souscrire </w:t>
            </w:r>
            <w:r w:rsidRPr="00323D90">
              <w:rPr>
                <w:rFonts w:cs="Andalus"/>
                <w:b/>
              </w:rPr>
              <w:t xml:space="preserve">obligatoirement </w:t>
            </w:r>
            <w:r>
              <w:rPr>
                <w:rFonts w:cs="Andalus"/>
              </w:rPr>
              <w:t>sur place dès votre arrivée ; son coût n’est pas négligeable,</w:t>
            </w:r>
            <w:r w:rsidR="006F4DEC">
              <w:rPr>
                <w:rFonts w:cs="Andalus"/>
              </w:rPr>
              <w:t xml:space="preserve"> renseignez-vous et</w:t>
            </w:r>
            <w:r>
              <w:rPr>
                <w:rFonts w:cs="Andalus"/>
              </w:rPr>
              <w:t xml:space="preserve"> intégrez celui-ci dans votre budget</w:t>
            </w:r>
            <w:r w:rsidR="007876A0">
              <w:rPr>
                <w:rFonts w:cs="Andalus"/>
              </w:rPr>
              <w:t>.</w:t>
            </w:r>
          </w:p>
        </w:tc>
      </w:tr>
      <w:tr w:rsidR="003E7CE8" w:rsidRPr="0090132B" w14:paraId="273FB6E2" w14:textId="77777777" w:rsidTr="006C39A0">
        <w:trPr>
          <w:gridAfter w:val="1"/>
          <w:wAfter w:w="4" w:type="pct"/>
          <w:jc w:val="center"/>
        </w:trPr>
        <w:tc>
          <w:tcPr>
            <w:tcW w:w="1451" w:type="pct"/>
            <w:shd w:val="clear" w:color="auto" w:fill="D6E3BC" w:themeFill="accent3" w:themeFillTint="66"/>
            <w:vAlign w:val="center"/>
          </w:tcPr>
          <w:p w14:paraId="15A86498" w14:textId="77777777" w:rsidR="003E7CE8" w:rsidRPr="0090132B" w:rsidRDefault="00903C0C" w:rsidP="0082797E">
            <w:pPr>
              <w:jc w:val="center"/>
              <w:rPr>
                <w:rFonts w:cs="Andalus"/>
              </w:rPr>
            </w:pPr>
            <w:r w:rsidRPr="0090132B">
              <w:rPr>
                <w:rFonts w:cs="Andalus"/>
              </w:rPr>
              <w:t>D</w:t>
            </w:r>
            <w:r w:rsidR="0000348D">
              <w:rPr>
                <w:rFonts w:cs="Andalus"/>
              </w:rPr>
              <w:t>élibérations au retour d’une M</w:t>
            </w:r>
            <w:r w:rsidR="003E7CE8" w:rsidRPr="0090132B">
              <w:rPr>
                <w:rFonts w:cs="Andalus"/>
              </w:rPr>
              <w:t>obilité</w:t>
            </w:r>
          </w:p>
        </w:tc>
        <w:tc>
          <w:tcPr>
            <w:tcW w:w="3545" w:type="pct"/>
            <w:gridSpan w:val="2"/>
          </w:tcPr>
          <w:p w14:paraId="7827DB48" w14:textId="77777777" w:rsidR="002261AF" w:rsidRDefault="003E7CE8" w:rsidP="002261AF">
            <w:pPr>
              <w:rPr>
                <w:rFonts w:cs="Andalus"/>
              </w:rPr>
            </w:pPr>
            <w:r w:rsidRPr="0090132B">
              <w:rPr>
                <w:rFonts w:cs="Andalus"/>
              </w:rPr>
              <w:t xml:space="preserve">Compte tenu de la disparité des calendriers académiques au sein des Institutions partenaires de la </w:t>
            </w:r>
            <w:r w:rsidR="002D60DF">
              <w:rPr>
                <w:rFonts w:cs="Andalus"/>
              </w:rPr>
              <w:t>HE</w:t>
            </w:r>
            <w:r w:rsidR="0000348D">
              <w:rPr>
                <w:rFonts w:cs="Andalus"/>
              </w:rPr>
              <w:t>Ch</w:t>
            </w:r>
            <w:r w:rsidRPr="0090132B">
              <w:rPr>
                <w:rFonts w:cs="Andalus"/>
              </w:rPr>
              <w:t>,</w:t>
            </w:r>
            <w:r w:rsidR="00386CCE">
              <w:rPr>
                <w:rFonts w:cs="Andalus"/>
              </w:rPr>
              <w:t xml:space="preserve"> à l’exception du Canada dont l’année scolaire se termine fin mai, </w:t>
            </w:r>
            <w:r w:rsidRPr="0090132B">
              <w:rPr>
                <w:rFonts w:cs="Andalus"/>
              </w:rPr>
              <w:t xml:space="preserve"> les étudiants en</w:t>
            </w:r>
            <w:r w:rsidR="0000348D">
              <w:rPr>
                <w:rFonts w:cs="Andalus"/>
              </w:rPr>
              <w:t xml:space="preserve"> m</w:t>
            </w:r>
            <w:r w:rsidRPr="0090132B">
              <w:rPr>
                <w:rFonts w:cs="Andalus"/>
              </w:rPr>
              <w:t>obilité académique sont délibérés pour le compte de la première session le jour de la délibér</w:t>
            </w:r>
            <w:r w:rsidR="002D60DF">
              <w:rPr>
                <w:rFonts w:cs="Andalus"/>
              </w:rPr>
              <w:t>ation des secondes sessions HE</w:t>
            </w:r>
            <w:r w:rsidR="0000348D">
              <w:rPr>
                <w:rFonts w:cs="Andalus"/>
              </w:rPr>
              <w:t>Ch</w:t>
            </w:r>
            <w:r w:rsidR="0050470C">
              <w:rPr>
                <w:rFonts w:cs="Andalus"/>
              </w:rPr>
              <w:t xml:space="preserve"> ou, si cela est possible, en séance de délibération exceptionnelle fin août</w:t>
            </w:r>
            <w:r w:rsidR="006917C1">
              <w:rPr>
                <w:rFonts w:cs="Andalus"/>
              </w:rPr>
              <w:t>, sur base du relevé de notes (</w:t>
            </w:r>
            <w:r w:rsidR="00AF294D">
              <w:rPr>
                <w:rFonts w:cs="Andalus"/>
              </w:rPr>
              <w:t>« T</w:t>
            </w:r>
            <w:r w:rsidR="006917C1">
              <w:rPr>
                <w:rFonts w:cs="Andalus"/>
              </w:rPr>
              <w:t>ranscript of records</w:t>
            </w:r>
            <w:r w:rsidR="00AF294D">
              <w:rPr>
                <w:rFonts w:cs="Andalus"/>
              </w:rPr>
              <w:t> »</w:t>
            </w:r>
            <w:r w:rsidR="006917C1">
              <w:rPr>
                <w:rFonts w:cs="Andalus"/>
              </w:rPr>
              <w:t xml:space="preserve">) envoyé par l’institution d’accueil ; </w:t>
            </w:r>
            <w:r w:rsidR="00386CCE" w:rsidRPr="00A72BF8">
              <w:rPr>
                <w:rFonts w:cs="Andalus"/>
                <w:b/>
              </w:rPr>
              <w:t xml:space="preserve">pour permettre aux jurys de délibération de siéger </w:t>
            </w:r>
            <w:r w:rsidR="00386CCE" w:rsidRPr="00A72BF8">
              <w:rPr>
                <w:rFonts w:cs="Andalus"/>
                <w:b/>
              </w:rPr>
              <w:lastRenderedPageBreak/>
              <w:t xml:space="preserve">valablement et ce, compte tenu toujours des disparités de calendriers, l’étudiant en retour de mobilité prendra le soin de se présenter au BRI </w:t>
            </w:r>
            <w:r w:rsidR="00A72BF8" w:rsidRPr="00A72BF8">
              <w:rPr>
                <w:rFonts w:cs="Andalus"/>
                <w:b/>
              </w:rPr>
              <w:t>avec son accès à l’Intranet de l’Université d’accueil dès le moment où ses notes d’évaluation lui seront intégralement accessibles</w:t>
            </w:r>
            <w:r w:rsidR="00A72BF8">
              <w:rPr>
                <w:rFonts w:cs="Andalus"/>
              </w:rPr>
              <w:t>. L</w:t>
            </w:r>
            <w:r w:rsidR="006917C1">
              <w:rPr>
                <w:rFonts w:cs="Andalus"/>
              </w:rPr>
              <w:t xml:space="preserve">es notes obtenues font l’objet d’une </w:t>
            </w:r>
            <w:r w:rsidR="002261AF">
              <w:rPr>
                <w:rFonts w:cs="Andalus"/>
              </w:rPr>
              <w:t xml:space="preserve">conversion </w:t>
            </w:r>
            <w:r w:rsidR="006917C1">
              <w:rPr>
                <w:rFonts w:cs="Andalus"/>
              </w:rPr>
              <w:t>selon l</w:t>
            </w:r>
            <w:r w:rsidR="002261AF">
              <w:rPr>
                <w:rFonts w:cs="Andalus"/>
              </w:rPr>
              <w:t xml:space="preserve">e système ECTS (disponible sur le site internet de la </w:t>
            </w:r>
            <w:r w:rsidR="002D60DF">
              <w:rPr>
                <w:rFonts w:cs="Andalus"/>
              </w:rPr>
              <w:t>HE</w:t>
            </w:r>
            <w:r w:rsidR="0000348D">
              <w:rPr>
                <w:rFonts w:cs="Andalus"/>
              </w:rPr>
              <w:t>Ch</w:t>
            </w:r>
            <w:r w:rsidR="002261AF">
              <w:rPr>
                <w:rFonts w:cs="Andalus"/>
              </w:rPr>
              <w:t xml:space="preserve">, onglet </w:t>
            </w:r>
            <w:r w:rsidR="00EF413B">
              <w:rPr>
                <w:rFonts w:cs="Andalus"/>
              </w:rPr>
              <w:t>« </w:t>
            </w:r>
            <w:r w:rsidR="002261AF">
              <w:rPr>
                <w:rFonts w:cs="Andalus"/>
              </w:rPr>
              <w:t>relations internationales</w:t>
            </w:r>
            <w:r w:rsidR="00EF413B">
              <w:rPr>
                <w:rFonts w:cs="Andalus"/>
              </w:rPr>
              <w:t> »</w:t>
            </w:r>
            <w:r w:rsidR="002261AF">
              <w:rPr>
                <w:rFonts w:cs="Andalus"/>
              </w:rPr>
              <w:t>)</w:t>
            </w:r>
            <w:r w:rsidRPr="0090132B">
              <w:rPr>
                <w:rFonts w:cs="Andalus"/>
              </w:rPr>
              <w:t>.</w:t>
            </w:r>
            <w:r w:rsidR="002261AF">
              <w:rPr>
                <w:rFonts w:cs="Andalus"/>
              </w:rPr>
              <w:t xml:space="preserve"> </w:t>
            </w:r>
          </w:p>
          <w:p w14:paraId="1FB2BE6A" w14:textId="48484B76" w:rsidR="00B05B17" w:rsidRPr="0090132B" w:rsidRDefault="002261AF" w:rsidP="006F4DEC">
            <w:pPr>
              <w:rPr>
                <w:rFonts w:cs="Andalus"/>
              </w:rPr>
            </w:pPr>
            <w:r>
              <w:rPr>
                <w:rFonts w:cs="Andalus"/>
              </w:rPr>
              <w:t xml:space="preserve">Par ailleurs, </w:t>
            </w:r>
            <w:r w:rsidRPr="00AF294D">
              <w:rPr>
                <w:rFonts w:cs="Andalus"/>
                <w:u w:val="single"/>
              </w:rPr>
              <w:t>les étudiants</w:t>
            </w:r>
            <w:r w:rsidR="003E7CE8" w:rsidRPr="00AF294D">
              <w:rPr>
                <w:rFonts w:cs="Andalus"/>
                <w:u w:val="single"/>
              </w:rPr>
              <w:t xml:space="preserve"> sont informés avant leur départ de la contrainte de représenter tout échec dan</w:t>
            </w:r>
            <w:r w:rsidR="00A72BF8">
              <w:rPr>
                <w:rFonts w:cs="Andalus"/>
                <w:u w:val="single"/>
              </w:rPr>
              <w:t>s l’Université d’accueil selon</w:t>
            </w:r>
            <w:r w:rsidR="003E7CE8" w:rsidRPr="00AF294D">
              <w:rPr>
                <w:rFonts w:cs="Andalus"/>
                <w:u w:val="single"/>
              </w:rPr>
              <w:t xml:space="preserve"> les modalités et dates qui y sont prévues</w:t>
            </w:r>
            <w:r w:rsidR="003E7CE8" w:rsidRPr="0090132B">
              <w:rPr>
                <w:rFonts w:cs="Andalus"/>
              </w:rPr>
              <w:t xml:space="preserve"> (avant même d’avoir été délibér</w:t>
            </w:r>
            <w:r w:rsidR="00A72BF8">
              <w:rPr>
                <w:rFonts w:cs="Andalus"/>
              </w:rPr>
              <w:t>és pour le compte de la 1°</w:t>
            </w:r>
            <w:r w:rsidR="003E7CE8" w:rsidRPr="0090132B">
              <w:rPr>
                <w:rFonts w:cs="Andalus"/>
              </w:rPr>
              <w:t xml:space="preserve"> session). Le lendemain de la délibération de septembre</w:t>
            </w:r>
            <w:r w:rsidR="00AF294D">
              <w:rPr>
                <w:rFonts w:cs="Andalus"/>
              </w:rPr>
              <w:t>,</w:t>
            </w:r>
            <w:r w:rsidR="00A72BF8">
              <w:rPr>
                <w:rFonts w:cs="Andalus"/>
              </w:rPr>
              <w:t xml:space="preserve"> s’ouvre pour eux la 2°</w:t>
            </w:r>
            <w:r w:rsidR="003E7CE8" w:rsidRPr="0090132B">
              <w:rPr>
                <w:rFonts w:cs="Andalus"/>
              </w:rPr>
              <w:t xml:space="preserve"> session, prolongée jusque mi-novembre, date de la fin de l’année</w:t>
            </w:r>
            <w:r w:rsidR="00336B44">
              <w:rPr>
                <w:rFonts w:cs="Andalus"/>
              </w:rPr>
              <w:t xml:space="preserve"> </w:t>
            </w:r>
            <w:r w:rsidR="00336B44" w:rsidRPr="00DF3145">
              <w:rPr>
                <w:rFonts w:cs="Andalus"/>
              </w:rPr>
              <w:t>académique</w:t>
            </w:r>
            <w:r w:rsidR="00DF3145" w:rsidRPr="00DF3145">
              <w:rPr>
                <w:rFonts w:cs="Andalus"/>
              </w:rPr>
              <w:t xml:space="preserve"> </w:t>
            </w:r>
            <w:r w:rsidR="00DF3145">
              <w:rPr>
                <w:rFonts w:cs="Andalus"/>
              </w:rPr>
              <w:t>telle que définie par le D</w:t>
            </w:r>
            <w:r w:rsidR="00DF3145" w:rsidRPr="00DF3145">
              <w:rPr>
                <w:rFonts w:cs="Andalus"/>
              </w:rPr>
              <w:t>écret Paysage.</w:t>
            </w:r>
          </w:p>
        </w:tc>
      </w:tr>
      <w:tr w:rsidR="00730D83" w:rsidRPr="0090132B" w14:paraId="727C40B6" w14:textId="77777777" w:rsidTr="006C39A0">
        <w:trPr>
          <w:gridAfter w:val="1"/>
          <w:wAfter w:w="4" w:type="pct"/>
          <w:jc w:val="center"/>
        </w:trPr>
        <w:tc>
          <w:tcPr>
            <w:tcW w:w="1451" w:type="pct"/>
            <w:shd w:val="clear" w:color="auto" w:fill="D6E3BC" w:themeFill="accent3" w:themeFillTint="66"/>
            <w:vAlign w:val="center"/>
          </w:tcPr>
          <w:p w14:paraId="5257D5CA" w14:textId="77777777" w:rsidR="00730D83" w:rsidRPr="00CE0108" w:rsidRDefault="00730D83" w:rsidP="0082797E">
            <w:pPr>
              <w:jc w:val="center"/>
              <w:rPr>
                <w:rFonts w:cs="Andalus"/>
              </w:rPr>
            </w:pPr>
            <w:r w:rsidRPr="00CE0108">
              <w:rPr>
                <w:rFonts w:cs="Andalus"/>
              </w:rPr>
              <w:lastRenderedPageBreak/>
              <w:t>En ca</w:t>
            </w:r>
            <w:r w:rsidR="00F55E5E" w:rsidRPr="00CE0108">
              <w:rPr>
                <w:rFonts w:cs="Andalus"/>
              </w:rPr>
              <w:t>s de réussite partielle</w:t>
            </w:r>
            <w:r w:rsidR="006E68A8">
              <w:rPr>
                <w:rFonts w:cs="Andalus"/>
              </w:rPr>
              <w:t xml:space="preserve"> </w:t>
            </w:r>
            <w:r w:rsidR="00EE40F3">
              <w:rPr>
                <w:rFonts w:cs="Andalus"/>
              </w:rPr>
              <w:t>au retour</w:t>
            </w:r>
            <w:r w:rsidRPr="00CE0108">
              <w:rPr>
                <w:rFonts w:cs="Andalus"/>
              </w:rPr>
              <w:t xml:space="preserve"> de Mobilité</w:t>
            </w:r>
          </w:p>
        </w:tc>
        <w:tc>
          <w:tcPr>
            <w:tcW w:w="3545" w:type="pct"/>
            <w:gridSpan w:val="2"/>
          </w:tcPr>
          <w:p w14:paraId="0EB1907C" w14:textId="014A9CFD" w:rsidR="00730D83" w:rsidRPr="00CE0108" w:rsidRDefault="00F55E5E" w:rsidP="009667DD">
            <w:pPr>
              <w:rPr>
                <w:rFonts w:cs="Andalus"/>
              </w:rPr>
            </w:pPr>
            <w:r w:rsidRPr="00CE0108">
              <w:rPr>
                <w:rFonts w:cs="Andalus"/>
              </w:rPr>
              <w:t xml:space="preserve">Les </w:t>
            </w:r>
            <w:r w:rsidRPr="00CE0108">
              <w:rPr>
                <w:rFonts w:cs="Andalus"/>
                <w:b/>
              </w:rPr>
              <w:t>échecs</w:t>
            </w:r>
            <w:r w:rsidR="00730D83" w:rsidRPr="00CE0108">
              <w:rPr>
                <w:rFonts w:cs="Andalus"/>
                <w:b/>
              </w:rPr>
              <w:t xml:space="preserve"> essuyés au terme de la seconde session d’examens passée dans l’Université d’accueil</w:t>
            </w:r>
            <w:r w:rsidR="00730D83" w:rsidRPr="00CE0108">
              <w:rPr>
                <w:rFonts w:cs="Andalus"/>
              </w:rPr>
              <w:t xml:space="preserve"> doivent êtr</w:t>
            </w:r>
            <w:r w:rsidR="002D60DF">
              <w:rPr>
                <w:rFonts w:cs="Andalus"/>
              </w:rPr>
              <w:t>e représentés au sein de la HE</w:t>
            </w:r>
            <w:r w:rsidR="005047CC" w:rsidRPr="00CE0108">
              <w:rPr>
                <w:rFonts w:cs="Andalus"/>
              </w:rPr>
              <w:t>Ch</w:t>
            </w:r>
            <w:r w:rsidR="00730D83" w:rsidRPr="00CE0108">
              <w:rPr>
                <w:rFonts w:cs="Andalus"/>
              </w:rPr>
              <w:t xml:space="preserve"> sous la forme </w:t>
            </w:r>
            <w:r w:rsidR="00D54F20">
              <w:rPr>
                <w:rFonts w:cs="Andalus"/>
              </w:rPr>
              <w:t xml:space="preserve">des épreuves </w:t>
            </w:r>
            <w:r w:rsidR="00730D83" w:rsidRPr="00CE0108">
              <w:rPr>
                <w:rFonts w:cs="Andalus"/>
              </w:rPr>
              <w:t>dans les disciplines les plus apparentées à celles dans lesquelles l’étudiant a échoué e</w:t>
            </w:r>
            <w:r w:rsidR="00F07A08" w:rsidRPr="00CE0108">
              <w:rPr>
                <w:rFonts w:cs="Andalus"/>
              </w:rPr>
              <w:t>t ce, dans l</w:t>
            </w:r>
            <w:r w:rsidR="006F4DEC">
              <w:rPr>
                <w:rFonts w:cs="Andalus"/>
              </w:rPr>
              <w:t>e respect du total des crédits</w:t>
            </w:r>
            <w:r w:rsidR="00730D83" w:rsidRPr="00CE0108">
              <w:rPr>
                <w:rFonts w:cs="Andalus"/>
              </w:rPr>
              <w:t xml:space="preserve"> en échec</w:t>
            </w:r>
            <w:r w:rsidR="005047CC" w:rsidRPr="00CE0108">
              <w:rPr>
                <w:rFonts w:cs="Andalus"/>
              </w:rPr>
              <w:t>.</w:t>
            </w:r>
          </w:p>
          <w:p w14:paraId="4D00A051" w14:textId="77777777" w:rsidR="00DB2FBD" w:rsidRPr="00D54F20" w:rsidRDefault="00136CA9" w:rsidP="00B11C9C">
            <w:pPr>
              <w:rPr>
                <w:rFonts w:cs="Andalus"/>
                <w:b/>
              </w:rPr>
            </w:pPr>
            <w:r>
              <w:rPr>
                <w:rFonts w:cs="Andalus"/>
                <w:noProof/>
                <w:lang w:eastAsia="fr-BE"/>
              </w:rPr>
              <w:pict w14:anchorId="2C1310E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45pt;margin-top:-.95pt;width:18.25pt;height:15.4pt;z-index:251659264" fillcolor="#c0504d [3205]" strokecolor="#c0504d [3205]"/>
              </w:pict>
            </w:r>
            <w:r w:rsidR="00D936EA">
              <w:rPr>
                <w:rFonts w:cs="Andalus"/>
                <w:b/>
              </w:rPr>
              <w:t xml:space="preserve">         </w:t>
            </w:r>
            <w:r w:rsidR="00E105BD">
              <w:rPr>
                <w:rFonts w:cs="Andalus"/>
                <w:b/>
              </w:rPr>
              <w:t>L’organisation de ces épreuves sera</w:t>
            </w:r>
            <w:r w:rsidR="00CE0108" w:rsidRPr="00CE0108">
              <w:rPr>
                <w:rFonts w:cs="Andalus"/>
                <w:b/>
              </w:rPr>
              <w:t xml:space="preserve"> soumis</w:t>
            </w:r>
            <w:r w:rsidR="00E105BD">
              <w:rPr>
                <w:rFonts w:cs="Andalus"/>
                <w:b/>
              </w:rPr>
              <w:t>e</w:t>
            </w:r>
            <w:r w:rsidR="00CE0108" w:rsidRPr="00CE0108">
              <w:rPr>
                <w:rFonts w:cs="Andalus"/>
                <w:b/>
              </w:rPr>
              <w:t xml:space="preserve"> à l’entérinement par la CAVP compétente.</w:t>
            </w:r>
          </w:p>
        </w:tc>
      </w:tr>
      <w:tr w:rsidR="00244D95" w:rsidRPr="0090132B" w14:paraId="7B856F8B" w14:textId="77777777" w:rsidTr="006C39A0">
        <w:trPr>
          <w:gridAfter w:val="1"/>
          <w:wAfter w:w="4" w:type="pct"/>
          <w:jc w:val="center"/>
        </w:trPr>
        <w:tc>
          <w:tcPr>
            <w:tcW w:w="1451" w:type="pct"/>
            <w:shd w:val="clear" w:color="auto" w:fill="D6E3BC" w:themeFill="accent3" w:themeFillTint="66"/>
            <w:vAlign w:val="center"/>
          </w:tcPr>
          <w:p w14:paraId="23CB7B4F" w14:textId="77777777" w:rsidR="00244D95" w:rsidRPr="0090132B" w:rsidRDefault="00244D95" w:rsidP="008D3E51">
            <w:pPr>
              <w:jc w:val="center"/>
              <w:rPr>
                <w:rFonts w:cs="Andalus"/>
              </w:rPr>
            </w:pPr>
            <w:r w:rsidRPr="0090132B">
              <w:rPr>
                <w:rFonts w:cs="Andalus"/>
              </w:rPr>
              <w:t>Les possibilités de bourse</w:t>
            </w:r>
            <w:r w:rsidR="00CE4711">
              <w:rPr>
                <w:rFonts w:cs="Andalus"/>
              </w:rPr>
              <w:t xml:space="preserve"> </w:t>
            </w:r>
            <w:r w:rsidR="00CE0108">
              <w:rPr>
                <w:rFonts w:cs="Andalus"/>
              </w:rPr>
              <w:t>« </w:t>
            </w:r>
            <w:r w:rsidR="00CE4711">
              <w:rPr>
                <w:rFonts w:cs="Andalus"/>
              </w:rPr>
              <w:t>étudiants</w:t>
            </w:r>
            <w:r w:rsidR="00CE0108">
              <w:rPr>
                <w:rFonts w:cs="Andalus"/>
              </w:rPr>
              <w:t> »</w:t>
            </w:r>
            <w:r w:rsidRPr="0090132B">
              <w:rPr>
                <w:rFonts w:cs="Andalus"/>
              </w:rPr>
              <w:t xml:space="preserve"> à la </w:t>
            </w:r>
            <w:r w:rsidR="002D60DF">
              <w:rPr>
                <w:rFonts w:cs="Andalus"/>
              </w:rPr>
              <w:t>HE</w:t>
            </w:r>
            <w:r w:rsidRPr="0090132B">
              <w:rPr>
                <w:rFonts w:cs="Andalus"/>
              </w:rPr>
              <w:t>C</w:t>
            </w:r>
            <w:r w:rsidR="008D3E51">
              <w:rPr>
                <w:rFonts w:cs="Andalus"/>
              </w:rPr>
              <w:t>h</w:t>
            </w:r>
            <w:r w:rsidR="00186861">
              <w:rPr>
                <w:rFonts w:cs="Andalus"/>
              </w:rPr>
              <w:t xml:space="preserve"> </w:t>
            </w:r>
          </w:p>
        </w:tc>
        <w:tc>
          <w:tcPr>
            <w:tcW w:w="3545" w:type="pct"/>
            <w:gridSpan w:val="2"/>
          </w:tcPr>
          <w:p w14:paraId="50463C79" w14:textId="77777777" w:rsidR="00244D95" w:rsidRPr="00B05B17" w:rsidRDefault="00A262B8" w:rsidP="00562CCF">
            <w:pPr>
              <w:rPr>
                <w:rFonts w:cs="Andalus"/>
              </w:rPr>
            </w:pPr>
            <w:r w:rsidRPr="00B05B17">
              <w:rPr>
                <w:rFonts w:cs="Andalus"/>
                <w:b/>
              </w:rPr>
              <w:t>SMS</w:t>
            </w:r>
            <w:r w:rsidR="00AD5A99" w:rsidRPr="00B05B17">
              <w:rPr>
                <w:rFonts w:cs="Andalus"/>
              </w:rPr>
              <w:t xml:space="preserve"> (St</w:t>
            </w:r>
            <w:r w:rsidRPr="00B05B17">
              <w:rPr>
                <w:rFonts w:cs="Andalus"/>
              </w:rPr>
              <w:t xml:space="preserve">udent </w:t>
            </w:r>
            <w:r w:rsidR="00AD5A99" w:rsidRPr="00B05B17">
              <w:rPr>
                <w:rFonts w:cs="Andalus"/>
              </w:rPr>
              <w:t>M</w:t>
            </w:r>
            <w:r w:rsidRPr="00B05B17">
              <w:rPr>
                <w:rFonts w:cs="Andalus"/>
              </w:rPr>
              <w:t xml:space="preserve">obility for </w:t>
            </w:r>
            <w:r w:rsidR="00AD5A99" w:rsidRPr="00B05B17">
              <w:rPr>
                <w:rFonts w:cs="Andalus"/>
              </w:rPr>
              <w:t>S</w:t>
            </w:r>
            <w:r w:rsidR="001E5759" w:rsidRPr="00B05B17">
              <w:rPr>
                <w:rFonts w:cs="Andalus"/>
              </w:rPr>
              <w:t>tudy)</w:t>
            </w:r>
            <w:r w:rsidR="009677D4" w:rsidRPr="00B05B17">
              <w:rPr>
                <w:rFonts w:cs="Andalus"/>
              </w:rPr>
              <w:t>: pour étudier</w:t>
            </w:r>
            <w:r w:rsidR="00611701" w:rsidRPr="00B05B17">
              <w:rPr>
                <w:rFonts w:cs="Andalus"/>
              </w:rPr>
              <w:t xml:space="preserve"> </w:t>
            </w:r>
            <w:r w:rsidRPr="00B05B17">
              <w:rPr>
                <w:rFonts w:cs="Andalus"/>
              </w:rPr>
              <w:t>en Europe.</w:t>
            </w:r>
          </w:p>
          <w:p w14:paraId="318ABF55" w14:textId="56239BB8" w:rsidR="00A262B8" w:rsidRPr="0090132B" w:rsidRDefault="00A262B8" w:rsidP="00562CCF">
            <w:pPr>
              <w:rPr>
                <w:rFonts w:cs="Andalus"/>
              </w:rPr>
            </w:pPr>
            <w:r w:rsidRPr="0090132B">
              <w:rPr>
                <w:rFonts w:cs="Andalus"/>
              </w:rPr>
              <w:t xml:space="preserve">Avoir réussi 60 </w:t>
            </w:r>
            <w:r w:rsidR="006F4DEC">
              <w:rPr>
                <w:rFonts w:cs="Andalus"/>
              </w:rPr>
              <w:t>crédits</w:t>
            </w:r>
            <w:r w:rsidRPr="0090132B">
              <w:rPr>
                <w:rFonts w:cs="Andalus"/>
              </w:rPr>
              <w:t xml:space="preserve"> et séjourner de trois à douze mois à l’étranger</w:t>
            </w:r>
            <w:r w:rsidR="008C7E04">
              <w:rPr>
                <w:rFonts w:cs="Andalus"/>
              </w:rPr>
              <w:t xml:space="preserve"> ; le montant de la bourse dépend du pays de séjour et du statut </w:t>
            </w:r>
            <w:r w:rsidR="002261AF">
              <w:rPr>
                <w:rFonts w:cs="Andalus"/>
              </w:rPr>
              <w:t xml:space="preserve">socio-économique </w:t>
            </w:r>
            <w:r w:rsidR="008C7E04">
              <w:rPr>
                <w:rFonts w:cs="Andalus"/>
              </w:rPr>
              <w:t xml:space="preserve">de l’étudiant : consulter le BRI </w:t>
            </w:r>
            <w:r w:rsidR="003B1F62">
              <w:rPr>
                <w:rFonts w:cs="Andalus"/>
              </w:rPr>
              <w:t xml:space="preserve">et le site Internet de la heCh </w:t>
            </w:r>
            <w:r w:rsidR="008C7E04">
              <w:rPr>
                <w:rFonts w:cs="Andalus"/>
              </w:rPr>
              <w:t>pour de plus amples détails</w:t>
            </w:r>
            <w:r w:rsidR="00B11C9C">
              <w:rPr>
                <w:rFonts w:cs="Andalus"/>
              </w:rPr>
              <w:t> ;</w:t>
            </w:r>
          </w:p>
          <w:p w14:paraId="32DADD65" w14:textId="77777777" w:rsidR="00A262B8" w:rsidRPr="0090132B" w:rsidRDefault="00F375F0" w:rsidP="00562CCF">
            <w:pPr>
              <w:rPr>
                <w:rFonts w:cs="Andalus"/>
              </w:rPr>
            </w:pPr>
            <w:r>
              <w:rPr>
                <w:rFonts w:cs="Andalus"/>
                <w:b/>
              </w:rPr>
              <w:t>FAMÉ</w:t>
            </w:r>
            <w:r w:rsidR="00A262B8" w:rsidRPr="0090132B">
              <w:rPr>
                <w:rFonts w:cs="Andalus"/>
              </w:rPr>
              <w:t xml:space="preserve"> (Fonds d’</w:t>
            </w:r>
            <w:r w:rsidR="00AD5A99">
              <w:rPr>
                <w:rFonts w:cs="Andalus"/>
              </w:rPr>
              <w:t>A</w:t>
            </w:r>
            <w:r w:rsidR="00A262B8" w:rsidRPr="0090132B">
              <w:rPr>
                <w:rFonts w:cs="Andalus"/>
              </w:rPr>
              <w:t xml:space="preserve">ide à la </w:t>
            </w:r>
            <w:r w:rsidR="00AD5A99">
              <w:rPr>
                <w:rFonts w:cs="Andalus"/>
              </w:rPr>
              <w:t>M</w:t>
            </w:r>
            <w:r w:rsidR="00186861">
              <w:rPr>
                <w:rFonts w:cs="Andalus"/>
              </w:rPr>
              <w:t xml:space="preserve">obilité) : pour étudier </w:t>
            </w:r>
            <w:r w:rsidR="00A262B8" w:rsidRPr="0090132B">
              <w:rPr>
                <w:rFonts w:cs="Andalus"/>
              </w:rPr>
              <w:t xml:space="preserve">hors Europe. </w:t>
            </w:r>
            <w:r w:rsidR="00782985">
              <w:rPr>
                <w:rFonts w:cs="Andalus"/>
              </w:rPr>
              <w:t xml:space="preserve">Mêmes durée et </w:t>
            </w:r>
            <w:r w:rsidR="00A262B8" w:rsidRPr="0090132B">
              <w:rPr>
                <w:rFonts w:cs="Andalus"/>
              </w:rPr>
              <w:t>co</w:t>
            </w:r>
            <w:r w:rsidR="00B11C9C">
              <w:rPr>
                <w:rFonts w:cs="Andalus"/>
              </w:rPr>
              <w:t>nditions que pour un SMS ;</w:t>
            </w:r>
          </w:p>
          <w:p w14:paraId="116C4A67" w14:textId="77777777" w:rsidR="00A262B8" w:rsidRDefault="00A262B8" w:rsidP="008C7E04">
            <w:pPr>
              <w:rPr>
                <w:rFonts w:cs="Andalus"/>
              </w:rPr>
            </w:pPr>
            <w:r w:rsidRPr="0090132B">
              <w:rPr>
                <w:rFonts w:cs="Andalus"/>
                <w:b/>
              </w:rPr>
              <w:t>Erasmus Belgica</w:t>
            </w:r>
            <w:r w:rsidRPr="0090132B">
              <w:rPr>
                <w:rFonts w:cs="Andalus"/>
              </w:rPr>
              <w:t> : po</w:t>
            </w:r>
            <w:r w:rsidR="008C7E04">
              <w:rPr>
                <w:rFonts w:cs="Andalus"/>
              </w:rPr>
              <w:t>ur étudier</w:t>
            </w:r>
            <w:r w:rsidRPr="0090132B">
              <w:rPr>
                <w:rFonts w:cs="Andalus"/>
              </w:rPr>
              <w:t xml:space="preserve"> en Belgique. Mêmes</w:t>
            </w:r>
            <w:r w:rsidR="00B11C9C">
              <w:rPr>
                <w:rFonts w:cs="Andalus"/>
              </w:rPr>
              <w:t xml:space="preserve"> durée et</w:t>
            </w:r>
            <w:r w:rsidR="00DE239A" w:rsidRPr="0090132B">
              <w:rPr>
                <w:rFonts w:cs="Andalus"/>
              </w:rPr>
              <w:t xml:space="preserve"> conditions que pour </w:t>
            </w:r>
            <w:r w:rsidR="00B11C9C">
              <w:rPr>
                <w:rFonts w:cs="Andalus"/>
              </w:rPr>
              <w:t xml:space="preserve">un </w:t>
            </w:r>
            <w:r w:rsidR="00DE239A" w:rsidRPr="0090132B">
              <w:rPr>
                <w:rFonts w:cs="Andalus"/>
              </w:rPr>
              <w:t>SMS</w:t>
            </w:r>
            <w:r w:rsidR="008C7E04">
              <w:rPr>
                <w:rFonts w:cs="Andalus"/>
              </w:rPr>
              <w:t> ; 100 euros accordés pour frais de voyage + 100 euros/mois pour frais de logement sur place</w:t>
            </w:r>
            <w:r w:rsidR="00700204">
              <w:rPr>
                <w:rFonts w:cs="Andalus"/>
              </w:rPr>
              <w:t>.</w:t>
            </w:r>
          </w:p>
          <w:p w14:paraId="026F1BAD" w14:textId="77777777" w:rsidR="002D60DF" w:rsidRPr="0090132B" w:rsidRDefault="002D60DF" w:rsidP="001C756D">
            <w:pPr>
              <w:rPr>
                <w:rFonts w:cs="Andalus"/>
              </w:rPr>
            </w:pPr>
            <w:r>
              <w:rPr>
                <w:rFonts w:cs="Andalus"/>
              </w:rPr>
              <w:t xml:space="preserve">Pour les mobilités </w:t>
            </w:r>
            <w:r w:rsidRPr="002D60DF">
              <w:rPr>
                <w:rFonts w:cs="Andalus"/>
                <w:b/>
              </w:rPr>
              <w:t>SEMP en Suisse</w:t>
            </w:r>
            <w:r>
              <w:rPr>
                <w:rFonts w:cs="Andalus"/>
              </w:rPr>
              <w:t>, c’est la Suisse qui offre une bourse de CHF 440,00/mois à l’étudiant.</w:t>
            </w:r>
          </w:p>
        </w:tc>
      </w:tr>
    </w:tbl>
    <w:p w14:paraId="49153470" w14:textId="77777777" w:rsidR="00CD6B77" w:rsidRDefault="00CD6B77" w:rsidP="00615670"/>
    <w:tbl>
      <w:tblPr>
        <w:tblStyle w:val="Grilledutableau"/>
        <w:tblW w:w="5000" w:type="pct"/>
        <w:tblLook w:val="04A0" w:firstRow="1" w:lastRow="0" w:firstColumn="1" w:lastColumn="0" w:noHBand="0" w:noVBand="1"/>
      </w:tblPr>
      <w:tblGrid>
        <w:gridCol w:w="4129"/>
        <w:gridCol w:w="10091"/>
      </w:tblGrid>
      <w:tr w:rsidR="003B1F62" w:rsidRPr="00EE5BE1" w14:paraId="048DDE1A" w14:textId="77777777" w:rsidTr="00D00CAE">
        <w:tc>
          <w:tcPr>
            <w:tcW w:w="5000" w:type="pct"/>
            <w:gridSpan w:val="2"/>
            <w:shd w:val="clear" w:color="auto" w:fill="E5B8B7" w:themeFill="accent2" w:themeFillTint="66"/>
          </w:tcPr>
          <w:p w14:paraId="3181A921" w14:textId="77777777" w:rsidR="003B1F62" w:rsidRPr="00515C29" w:rsidRDefault="003B1F62" w:rsidP="00AC71E8">
            <w:pPr>
              <w:jc w:val="center"/>
              <w:rPr>
                <w:color w:val="1F497D" w:themeColor="text2"/>
                <w:sz w:val="28"/>
                <w:szCs w:val="28"/>
              </w:rPr>
            </w:pPr>
            <w:r w:rsidRPr="00515C29">
              <w:rPr>
                <w:color w:val="1F497D" w:themeColor="text2"/>
                <w:sz w:val="28"/>
                <w:szCs w:val="28"/>
              </w:rPr>
              <w:t>PRINCIPES DE M</w:t>
            </w:r>
            <w:r>
              <w:rPr>
                <w:color w:val="1F497D" w:themeColor="text2"/>
                <w:sz w:val="28"/>
                <w:szCs w:val="28"/>
              </w:rPr>
              <w:t>OBILITE STAGE</w:t>
            </w:r>
            <w:r w:rsidRPr="00515C29">
              <w:rPr>
                <w:color w:val="1F497D" w:themeColor="text2"/>
                <w:sz w:val="28"/>
                <w:szCs w:val="28"/>
              </w:rPr>
              <w:t xml:space="preserve"> </w:t>
            </w:r>
            <w:r>
              <w:rPr>
                <w:color w:val="1F497D" w:themeColor="text2"/>
                <w:sz w:val="28"/>
                <w:szCs w:val="28"/>
              </w:rPr>
              <w:t>POUR LES ETUDIANTS OUTGOING EN CATEGORIE PEDAGOGIQUE</w:t>
            </w:r>
            <w:r w:rsidRPr="00515C29">
              <w:rPr>
                <w:color w:val="1F497D" w:themeColor="text2"/>
                <w:sz w:val="28"/>
                <w:szCs w:val="28"/>
              </w:rPr>
              <w:t xml:space="preserve"> II  </w:t>
            </w:r>
          </w:p>
          <w:p w14:paraId="56421900" w14:textId="57A46B35" w:rsidR="003B1F62" w:rsidRPr="00515C29" w:rsidRDefault="006F4DEC" w:rsidP="00AC71E8">
            <w:pPr>
              <w:jc w:val="center"/>
              <w:rPr>
                <w:color w:val="1F497D" w:themeColor="text2"/>
                <w:sz w:val="28"/>
                <w:szCs w:val="28"/>
              </w:rPr>
            </w:pPr>
            <w:r>
              <w:rPr>
                <w:color w:val="1F497D" w:themeColor="text2"/>
                <w:sz w:val="28"/>
                <w:szCs w:val="28"/>
              </w:rPr>
              <w:t>VERSION 2021/2022</w:t>
            </w:r>
          </w:p>
          <w:p w14:paraId="40C5EFD0" w14:textId="77777777" w:rsidR="003B1F62" w:rsidRPr="00EE5BE1" w:rsidRDefault="003B1F62" w:rsidP="00AC71E8">
            <w:pPr>
              <w:jc w:val="center"/>
              <w:rPr>
                <w:b/>
              </w:rPr>
            </w:pPr>
          </w:p>
        </w:tc>
      </w:tr>
      <w:tr w:rsidR="003B1F62" w:rsidRPr="00A81E3D" w14:paraId="4A535BD5" w14:textId="77777777" w:rsidTr="00D00CAE">
        <w:tc>
          <w:tcPr>
            <w:tcW w:w="1452" w:type="pct"/>
            <w:tcBorders>
              <w:bottom w:val="single" w:sz="4" w:space="0" w:color="auto"/>
            </w:tcBorders>
            <w:shd w:val="clear" w:color="auto" w:fill="C2D69B" w:themeFill="accent3" w:themeFillTint="99"/>
            <w:vAlign w:val="center"/>
          </w:tcPr>
          <w:p w14:paraId="518E2F43" w14:textId="77777777" w:rsidR="003B1F62" w:rsidRDefault="003B1F62" w:rsidP="00AC71E8">
            <w:pPr>
              <w:jc w:val="center"/>
              <w:rPr>
                <w:rFonts w:cs="Andalus"/>
                <w:sz w:val="28"/>
                <w:szCs w:val="28"/>
              </w:rPr>
            </w:pPr>
            <w:r w:rsidRPr="00A81E3D">
              <w:rPr>
                <w:rFonts w:cs="Andalus"/>
                <w:sz w:val="28"/>
                <w:szCs w:val="28"/>
              </w:rPr>
              <w:t>Section</w:t>
            </w:r>
          </w:p>
          <w:p w14:paraId="56B7F06F" w14:textId="77777777" w:rsidR="003B1F62" w:rsidRPr="0090132B" w:rsidRDefault="003B1F62" w:rsidP="00AC71E8">
            <w:pPr>
              <w:jc w:val="center"/>
              <w:rPr>
                <w:rFonts w:cs="Andalus"/>
                <w:b/>
              </w:rPr>
            </w:pPr>
            <w:r>
              <w:rPr>
                <w:rFonts w:cs="Andalus"/>
                <w:sz w:val="28"/>
                <w:szCs w:val="28"/>
              </w:rPr>
              <w:t>Educateurs spécialisés</w:t>
            </w:r>
          </w:p>
        </w:tc>
        <w:tc>
          <w:tcPr>
            <w:tcW w:w="3548" w:type="pct"/>
            <w:shd w:val="clear" w:color="auto" w:fill="C2D69B" w:themeFill="accent3" w:themeFillTint="99"/>
            <w:vAlign w:val="center"/>
          </w:tcPr>
          <w:p w14:paraId="698FBD05" w14:textId="77777777" w:rsidR="003B1F62" w:rsidRPr="00A81E3D" w:rsidRDefault="003B1F62" w:rsidP="00AC71E8">
            <w:pPr>
              <w:jc w:val="center"/>
              <w:rPr>
                <w:sz w:val="28"/>
                <w:szCs w:val="28"/>
              </w:rPr>
            </w:pPr>
            <w:r>
              <w:rPr>
                <w:sz w:val="28"/>
                <w:szCs w:val="28"/>
              </w:rPr>
              <w:t>Mobilité au Bloc 3 uniquement</w:t>
            </w:r>
          </w:p>
        </w:tc>
      </w:tr>
      <w:tr w:rsidR="00186861" w:rsidRPr="0090132B" w14:paraId="7A820D15" w14:textId="77777777" w:rsidTr="00D00CAE">
        <w:tc>
          <w:tcPr>
            <w:tcW w:w="1452" w:type="pct"/>
            <w:shd w:val="clear" w:color="auto" w:fill="D6E3BC" w:themeFill="accent3" w:themeFillTint="66"/>
            <w:vAlign w:val="center"/>
          </w:tcPr>
          <w:p w14:paraId="7AF6CD3F" w14:textId="77777777" w:rsidR="00186861" w:rsidRPr="0090132B" w:rsidRDefault="00186861" w:rsidP="00AC71E8">
            <w:pPr>
              <w:jc w:val="center"/>
              <w:rPr>
                <w:rFonts w:cs="Andalus"/>
              </w:rPr>
            </w:pPr>
            <w:r>
              <w:rPr>
                <w:rFonts w:cs="Andalus"/>
              </w:rPr>
              <w:t>Durée de la mobilité stage</w:t>
            </w:r>
          </w:p>
        </w:tc>
        <w:tc>
          <w:tcPr>
            <w:tcW w:w="3548" w:type="pct"/>
          </w:tcPr>
          <w:p w14:paraId="692CE60A" w14:textId="77777777" w:rsidR="00186861" w:rsidRPr="0090132B" w:rsidRDefault="00186861" w:rsidP="00AC71E8">
            <w:pPr>
              <w:jc w:val="center"/>
              <w:rPr>
                <w:rFonts w:cs="Andalus"/>
              </w:rPr>
            </w:pPr>
            <w:r>
              <w:rPr>
                <w:rFonts w:cs="Andalus"/>
              </w:rPr>
              <w:t>13 semaines</w:t>
            </w:r>
            <w:r w:rsidR="00C4172E">
              <w:rPr>
                <w:rFonts w:cs="Andalus"/>
              </w:rPr>
              <w:t xml:space="preserve"> effectives</w:t>
            </w:r>
            <w:r>
              <w:rPr>
                <w:rFonts w:cs="Andalus"/>
              </w:rPr>
              <w:t>, selon les dates du calendrier de la section</w:t>
            </w:r>
          </w:p>
        </w:tc>
      </w:tr>
      <w:tr w:rsidR="005A6DC8" w:rsidRPr="0090132B" w14:paraId="33614F0F" w14:textId="77777777" w:rsidTr="00D00CAE">
        <w:tc>
          <w:tcPr>
            <w:tcW w:w="1452" w:type="pct"/>
            <w:shd w:val="clear" w:color="auto" w:fill="D6E3BC" w:themeFill="accent3" w:themeFillTint="66"/>
            <w:vAlign w:val="center"/>
          </w:tcPr>
          <w:p w14:paraId="6A3CDDB4" w14:textId="77777777" w:rsidR="005A6DC8" w:rsidRDefault="005A6DC8" w:rsidP="00AC71E8">
            <w:pPr>
              <w:jc w:val="center"/>
              <w:rPr>
                <w:rFonts w:cs="Andalus"/>
              </w:rPr>
            </w:pPr>
            <w:r>
              <w:rPr>
                <w:rFonts w:cs="Andalus"/>
              </w:rPr>
              <w:t>Base de la mobilité stage et évaluation</w:t>
            </w:r>
          </w:p>
        </w:tc>
        <w:tc>
          <w:tcPr>
            <w:tcW w:w="3548" w:type="pct"/>
          </w:tcPr>
          <w:p w14:paraId="3C1244FE" w14:textId="77777777" w:rsidR="00B11C9C" w:rsidRDefault="00661A57" w:rsidP="005A6DC8">
            <w:pPr>
              <w:rPr>
                <w:rFonts w:cs="Andalus"/>
              </w:rPr>
            </w:pPr>
            <w:r>
              <w:rPr>
                <w:rFonts w:cs="Andalus"/>
              </w:rPr>
              <w:t>Stage</w:t>
            </w:r>
            <w:r w:rsidR="005A6DC8">
              <w:rPr>
                <w:rFonts w:cs="Andalus"/>
              </w:rPr>
              <w:t xml:space="preserve"> </w:t>
            </w:r>
            <w:r w:rsidR="00870A6C">
              <w:rPr>
                <w:rFonts w:cs="Andalus"/>
              </w:rPr>
              <w:t>encadré par une I</w:t>
            </w:r>
            <w:r w:rsidR="005A6DC8">
              <w:rPr>
                <w:rFonts w:cs="Andalus"/>
              </w:rPr>
              <w:t>ES partenaire</w:t>
            </w:r>
            <w:r w:rsidR="00316C0C">
              <w:rPr>
                <w:rFonts w:cs="Andalus"/>
              </w:rPr>
              <w:t xml:space="preserve"> (partage du </w:t>
            </w:r>
            <w:r w:rsidR="002D60DF">
              <w:rPr>
                <w:rFonts w:cs="Andalus"/>
              </w:rPr>
              <w:t>portefeuille de lieux de stage) ou trouvé par l’étudiant lui-même.</w:t>
            </w:r>
          </w:p>
          <w:p w14:paraId="23ED8EC1" w14:textId="77777777" w:rsidR="005A6DC8" w:rsidRDefault="005A6DC8" w:rsidP="005A6DC8">
            <w:pPr>
              <w:rPr>
                <w:rFonts w:cs="Andalus"/>
              </w:rPr>
            </w:pPr>
            <w:r>
              <w:rPr>
                <w:rFonts w:cs="Andalus"/>
              </w:rPr>
              <w:t xml:space="preserve">Convention de stage </w:t>
            </w:r>
            <w:r w:rsidR="001C756D">
              <w:rPr>
                <w:rFonts w:cs="Andalus"/>
              </w:rPr>
              <w:t>établie par la HE</w:t>
            </w:r>
            <w:r>
              <w:rPr>
                <w:rFonts w:cs="Andalus"/>
              </w:rPr>
              <w:t>Ch, et signée pour accord par le lieu d’accueil du stagiaire</w:t>
            </w:r>
            <w:r w:rsidR="00316C0C">
              <w:rPr>
                <w:rFonts w:cs="Andalus"/>
              </w:rPr>
              <w:t>.</w:t>
            </w:r>
          </w:p>
          <w:p w14:paraId="6B8A4AB7" w14:textId="72179105" w:rsidR="005A6DC8" w:rsidRDefault="005A6DC8" w:rsidP="005A6DC8">
            <w:pPr>
              <w:rPr>
                <w:rFonts w:cs="Andalus"/>
              </w:rPr>
            </w:pPr>
            <w:r>
              <w:rPr>
                <w:rFonts w:cs="Andalus"/>
              </w:rPr>
              <w:t>Grill</w:t>
            </w:r>
            <w:r w:rsidR="001C756D">
              <w:rPr>
                <w:rFonts w:cs="Andalus"/>
              </w:rPr>
              <w:t>e d’évaluation établie par la HE</w:t>
            </w:r>
            <w:r>
              <w:rPr>
                <w:rFonts w:cs="Andalus"/>
              </w:rPr>
              <w:t>Ch</w:t>
            </w:r>
            <w:r w:rsidR="00316C0C">
              <w:rPr>
                <w:rFonts w:cs="Andalus"/>
              </w:rPr>
              <w:t>.</w:t>
            </w:r>
            <w:r>
              <w:rPr>
                <w:rFonts w:cs="Andalus"/>
              </w:rPr>
              <w:t xml:space="preserve"> </w:t>
            </w:r>
            <w:r w:rsidR="00661A57">
              <w:rPr>
                <w:rFonts w:cs="Andalus"/>
              </w:rPr>
              <w:t>Evaluation réalisée sur place</w:t>
            </w:r>
            <w:r w:rsidR="001C756D">
              <w:rPr>
                <w:rFonts w:cs="Andalus"/>
              </w:rPr>
              <w:t xml:space="preserve"> et par visio-conférence. Note finale </w:t>
            </w:r>
            <w:r w:rsidR="001C756D">
              <w:rPr>
                <w:rFonts w:cs="Andalus"/>
              </w:rPr>
              <w:lastRenderedPageBreak/>
              <w:t>rendue par la HE</w:t>
            </w:r>
            <w:r w:rsidR="006F4DEC">
              <w:rPr>
                <w:rFonts w:cs="Andalus"/>
              </w:rPr>
              <w:t>Ch, sur base des évaluations à distance, du rapport de stage rédigé et de l’entretien final.</w:t>
            </w:r>
          </w:p>
        </w:tc>
      </w:tr>
      <w:tr w:rsidR="00186861" w:rsidRPr="0090132B" w14:paraId="1DBBB686" w14:textId="77777777" w:rsidTr="00D00CAE">
        <w:tc>
          <w:tcPr>
            <w:tcW w:w="1452" w:type="pct"/>
            <w:shd w:val="clear" w:color="auto" w:fill="D6E3BC" w:themeFill="accent3" w:themeFillTint="66"/>
            <w:vAlign w:val="center"/>
          </w:tcPr>
          <w:p w14:paraId="3722C09A" w14:textId="5954F99A" w:rsidR="00186861" w:rsidRPr="0090132B" w:rsidRDefault="00186861" w:rsidP="00AC71E8">
            <w:pPr>
              <w:jc w:val="center"/>
              <w:rPr>
                <w:rFonts w:cs="Andalus"/>
              </w:rPr>
            </w:pPr>
            <w:r w:rsidRPr="0090132B">
              <w:rPr>
                <w:rFonts w:cs="Andalus"/>
              </w:rPr>
              <w:lastRenderedPageBreak/>
              <w:t xml:space="preserve">Les possibilités de bourse à la </w:t>
            </w:r>
            <w:r w:rsidR="006F4DEC">
              <w:rPr>
                <w:rFonts w:cs="Andalus"/>
              </w:rPr>
              <w:t>HE</w:t>
            </w:r>
            <w:r w:rsidRPr="0090132B">
              <w:rPr>
                <w:rFonts w:cs="Andalus"/>
              </w:rPr>
              <w:t>C</w:t>
            </w:r>
            <w:r>
              <w:rPr>
                <w:rFonts w:cs="Andalus"/>
              </w:rPr>
              <w:t xml:space="preserve">h </w:t>
            </w:r>
          </w:p>
        </w:tc>
        <w:tc>
          <w:tcPr>
            <w:tcW w:w="3548" w:type="pct"/>
          </w:tcPr>
          <w:p w14:paraId="4B4398BB" w14:textId="77777777" w:rsidR="00186861" w:rsidRPr="00B05B17" w:rsidRDefault="00186861" w:rsidP="00AC71E8">
            <w:pPr>
              <w:rPr>
                <w:rFonts w:cs="Andalus"/>
              </w:rPr>
            </w:pPr>
            <w:r w:rsidRPr="00B05B17">
              <w:rPr>
                <w:rFonts w:cs="Andalus"/>
                <w:b/>
              </w:rPr>
              <w:t>SMP</w:t>
            </w:r>
            <w:r w:rsidRPr="00B05B17">
              <w:rPr>
                <w:rFonts w:cs="Andalus"/>
              </w:rPr>
              <w:t xml:space="preserve"> (Student Mobility for Placement): pour effectuer un stage en Europe.</w:t>
            </w:r>
          </w:p>
          <w:p w14:paraId="7B470E07" w14:textId="0EA9E419" w:rsidR="00186861" w:rsidRPr="0090132B" w:rsidRDefault="00186861" w:rsidP="00AC71E8">
            <w:pPr>
              <w:rPr>
                <w:rFonts w:cs="Andalus"/>
              </w:rPr>
            </w:pPr>
            <w:r>
              <w:rPr>
                <w:rFonts w:cs="Andalus"/>
              </w:rPr>
              <w:t xml:space="preserve">Durée minimum de 9 semaines ; le montant de la bourse dépend du pays de séjour et du statut socio-économique de l’étudiant : consulter le </w:t>
            </w:r>
            <w:r w:rsidR="006F4DEC">
              <w:rPr>
                <w:rFonts w:cs="Andalus"/>
              </w:rPr>
              <w:t>BRI et le site Internet de la HE</w:t>
            </w:r>
            <w:r>
              <w:rPr>
                <w:rFonts w:cs="Andalus"/>
              </w:rPr>
              <w:t>Ch pour de plus amples détails.</w:t>
            </w:r>
          </w:p>
          <w:p w14:paraId="6FF22969" w14:textId="77777777" w:rsidR="00186861" w:rsidRDefault="00F375F0" w:rsidP="00AC71E8">
            <w:pPr>
              <w:rPr>
                <w:rFonts w:cs="Andalus"/>
              </w:rPr>
            </w:pPr>
            <w:r>
              <w:rPr>
                <w:rFonts w:cs="Andalus"/>
                <w:b/>
              </w:rPr>
              <w:t>FAMÉ</w:t>
            </w:r>
            <w:r w:rsidR="00186861" w:rsidRPr="0090132B">
              <w:rPr>
                <w:rFonts w:cs="Andalus"/>
              </w:rPr>
              <w:t xml:space="preserve"> (Fonds d’</w:t>
            </w:r>
            <w:r w:rsidR="00186861">
              <w:rPr>
                <w:rFonts w:cs="Andalus"/>
              </w:rPr>
              <w:t>A</w:t>
            </w:r>
            <w:r w:rsidR="00186861" w:rsidRPr="0090132B">
              <w:rPr>
                <w:rFonts w:cs="Andalus"/>
              </w:rPr>
              <w:t xml:space="preserve">ide à la </w:t>
            </w:r>
            <w:r w:rsidR="00186861">
              <w:rPr>
                <w:rFonts w:cs="Andalus"/>
              </w:rPr>
              <w:t xml:space="preserve">Mobilité) : pour effectuer un stage </w:t>
            </w:r>
            <w:r w:rsidR="00186861" w:rsidRPr="0090132B">
              <w:rPr>
                <w:rFonts w:cs="Andalus"/>
              </w:rPr>
              <w:t xml:space="preserve">hors Europe. </w:t>
            </w:r>
          </w:p>
          <w:p w14:paraId="382B9F8D" w14:textId="77777777" w:rsidR="00186861" w:rsidRPr="0090132B" w:rsidRDefault="00186861" w:rsidP="00AC71E8">
            <w:pPr>
              <w:rPr>
                <w:rFonts w:cs="Andalus"/>
              </w:rPr>
            </w:pPr>
            <w:r>
              <w:rPr>
                <w:rFonts w:cs="Andalus"/>
              </w:rPr>
              <w:t>D</w:t>
            </w:r>
            <w:r w:rsidRPr="0090132B">
              <w:rPr>
                <w:rFonts w:cs="Andalus"/>
              </w:rPr>
              <w:t xml:space="preserve">urée </w:t>
            </w:r>
            <w:r>
              <w:rPr>
                <w:rFonts w:cs="Andalus"/>
              </w:rPr>
              <w:t xml:space="preserve">minimum de 13 semaines </w:t>
            </w:r>
            <w:r w:rsidRPr="0090132B">
              <w:rPr>
                <w:rFonts w:cs="Andalus"/>
              </w:rPr>
              <w:t>et mêmes co</w:t>
            </w:r>
            <w:r>
              <w:rPr>
                <w:rFonts w:cs="Andalus"/>
              </w:rPr>
              <w:t>nditions que pour un SMS.</w:t>
            </w:r>
          </w:p>
          <w:p w14:paraId="7C94A82E" w14:textId="77777777" w:rsidR="001C756D" w:rsidRDefault="00186861" w:rsidP="00186861">
            <w:pPr>
              <w:rPr>
                <w:rFonts w:cs="Andalus"/>
              </w:rPr>
            </w:pPr>
            <w:r w:rsidRPr="0090132B">
              <w:rPr>
                <w:rFonts w:cs="Andalus"/>
                <w:b/>
              </w:rPr>
              <w:t>Erasmus Belgica</w:t>
            </w:r>
            <w:r w:rsidRPr="0090132B">
              <w:rPr>
                <w:rFonts w:cs="Andalus"/>
              </w:rPr>
              <w:t> : po</w:t>
            </w:r>
            <w:r>
              <w:rPr>
                <w:rFonts w:cs="Andalus"/>
              </w:rPr>
              <w:t>ur effectuer un stage</w:t>
            </w:r>
            <w:r w:rsidRPr="0090132B">
              <w:rPr>
                <w:rFonts w:cs="Andalus"/>
              </w:rPr>
              <w:t xml:space="preserve"> en Belgique. Mêmes conditions que pour SM</w:t>
            </w:r>
            <w:r>
              <w:rPr>
                <w:rFonts w:cs="Andalus"/>
              </w:rPr>
              <w:t xml:space="preserve">P ; 100 euros accordés </w:t>
            </w:r>
          </w:p>
          <w:p w14:paraId="6E04E33F" w14:textId="5E01D692" w:rsidR="00186861" w:rsidRDefault="00186861" w:rsidP="00186861">
            <w:pPr>
              <w:rPr>
                <w:rFonts w:cs="Andalus"/>
              </w:rPr>
            </w:pPr>
            <w:r>
              <w:rPr>
                <w:rFonts w:cs="Andalus"/>
              </w:rPr>
              <w:t xml:space="preserve">pour </w:t>
            </w:r>
            <w:r w:rsidR="006F4DEC">
              <w:rPr>
                <w:rFonts w:cs="Andalus"/>
              </w:rPr>
              <w:t xml:space="preserve">les </w:t>
            </w:r>
            <w:r>
              <w:rPr>
                <w:rFonts w:cs="Andalus"/>
              </w:rPr>
              <w:t xml:space="preserve">frais de voyage + 100 euros/mois pour </w:t>
            </w:r>
            <w:r w:rsidR="006F4DEC">
              <w:rPr>
                <w:rFonts w:cs="Andalus"/>
              </w:rPr>
              <w:t xml:space="preserve">les </w:t>
            </w:r>
            <w:r>
              <w:rPr>
                <w:rFonts w:cs="Andalus"/>
              </w:rPr>
              <w:t>frais de logement sur place</w:t>
            </w:r>
            <w:r w:rsidR="006F4DEC">
              <w:rPr>
                <w:rFonts w:cs="Andalus"/>
              </w:rPr>
              <w:t>.</w:t>
            </w:r>
          </w:p>
          <w:p w14:paraId="4C8ECF83" w14:textId="3D34747F" w:rsidR="001C756D" w:rsidRPr="0090132B" w:rsidRDefault="001C756D" w:rsidP="00186861">
            <w:pPr>
              <w:rPr>
                <w:rFonts w:cs="Andalus"/>
              </w:rPr>
            </w:pPr>
            <w:r w:rsidRPr="001C756D">
              <w:rPr>
                <w:rFonts w:cs="Andalus"/>
                <w:b/>
              </w:rPr>
              <w:t>Stage</w:t>
            </w:r>
            <w:r w:rsidR="006F4DEC">
              <w:rPr>
                <w:rFonts w:cs="Andalus"/>
                <w:b/>
              </w:rPr>
              <w:t>/séjour académique</w:t>
            </w:r>
            <w:r w:rsidRPr="001C756D">
              <w:rPr>
                <w:rFonts w:cs="Andalus"/>
                <w:b/>
              </w:rPr>
              <w:t xml:space="preserve"> SEMP en</w:t>
            </w:r>
            <w:r>
              <w:rPr>
                <w:rFonts w:cs="Andalus"/>
              </w:rPr>
              <w:t xml:space="preserve"> </w:t>
            </w:r>
            <w:r w:rsidRPr="001C756D">
              <w:rPr>
                <w:rFonts w:cs="Andalus"/>
                <w:b/>
              </w:rPr>
              <w:t>Suisse</w:t>
            </w:r>
            <w:r>
              <w:rPr>
                <w:rFonts w:cs="Andalus"/>
              </w:rPr>
              <w:t xml:space="preserve"> (via </w:t>
            </w:r>
            <w:r w:rsidRPr="001C756D">
              <w:rPr>
                <w:rFonts w:cs="Andalus"/>
                <w:b/>
              </w:rPr>
              <w:t>éésp Lausanne</w:t>
            </w:r>
            <w:r>
              <w:rPr>
                <w:rFonts w:cs="Andalus"/>
              </w:rPr>
              <w:t>) : CHF 440,00/mois</w:t>
            </w:r>
          </w:p>
        </w:tc>
      </w:tr>
    </w:tbl>
    <w:p w14:paraId="4555F5AA" w14:textId="77777777" w:rsidR="003B1F62" w:rsidRDefault="003B1F62" w:rsidP="00615670"/>
    <w:tbl>
      <w:tblPr>
        <w:tblStyle w:val="Grilledutableau"/>
        <w:tblW w:w="5000" w:type="pct"/>
        <w:tblLook w:val="04A0" w:firstRow="1" w:lastRow="0" w:firstColumn="1" w:lastColumn="0" w:noHBand="0" w:noVBand="1"/>
      </w:tblPr>
      <w:tblGrid>
        <w:gridCol w:w="4129"/>
        <w:gridCol w:w="10091"/>
      </w:tblGrid>
      <w:tr w:rsidR="003464F0" w:rsidRPr="00EE5BE1" w14:paraId="401D72BD" w14:textId="77777777" w:rsidTr="008615E1">
        <w:tc>
          <w:tcPr>
            <w:tcW w:w="5000" w:type="pct"/>
            <w:gridSpan w:val="2"/>
            <w:shd w:val="clear" w:color="auto" w:fill="E5B8B7" w:themeFill="accent2" w:themeFillTint="66"/>
          </w:tcPr>
          <w:p w14:paraId="0DBE6370" w14:textId="77777777" w:rsidR="003464F0" w:rsidRDefault="003464F0" w:rsidP="008615E1">
            <w:pPr>
              <w:jc w:val="center"/>
              <w:rPr>
                <w:color w:val="1F497D" w:themeColor="text2"/>
                <w:sz w:val="28"/>
                <w:szCs w:val="28"/>
              </w:rPr>
            </w:pPr>
            <w:r w:rsidRPr="00515C29">
              <w:rPr>
                <w:color w:val="1F497D" w:themeColor="text2"/>
                <w:sz w:val="28"/>
                <w:szCs w:val="28"/>
              </w:rPr>
              <w:t>PRINCIPES DE M</w:t>
            </w:r>
            <w:r>
              <w:rPr>
                <w:color w:val="1F497D" w:themeColor="text2"/>
                <w:sz w:val="28"/>
                <w:szCs w:val="28"/>
              </w:rPr>
              <w:t xml:space="preserve">OBILITE POUR LES JEUNES DIPLÔMÉS </w:t>
            </w:r>
          </w:p>
          <w:p w14:paraId="5BF969A5" w14:textId="475B641E" w:rsidR="003464F0" w:rsidRPr="00515C29" w:rsidRDefault="006F4DEC" w:rsidP="008615E1">
            <w:pPr>
              <w:jc w:val="center"/>
              <w:rPr>
                <w:color w:val="1F497D" w:themeColor="text2"/>
                <w:sz w:val="28"/>
                <w:szCs w:val="28"/>
              </w:rPr>
            </w:pPr>
            <w:r>
              <w:rPr>
                <w:color w:val="1F497D" w:themeColor="text2"/>
                <w:sz w:val="28"/>
                <w:szCs w:val="28"/>
              </w:rPr>
              <w:t>VERSION 2021/2022</w:t>
            </w:r>
          </w:p>
          <w:p w14:paraId="0A56D45C" w14:textId="77777777" w:rsidR="003464F0" w:rsidRPr="00EE5BE1" w:rsidRDefault="003464F0" w:rsidP="008615E1">
            <w:pPr>
              <w:jc w:val="center"/>
              <w:rPr>
                <w:b/>
              </w:rPr>
            </w:pPr>
          </w:p>
        </w:tc>
      </w:tr>
      <w:tr w:rsidR="003464F0" w:rsidRPr="0090132B" w14:paraId="39AF39C5" w14:textId="77777777" w:rsidTr="008615E1">
        <w:tc>
          <w:tcPr>
            <w:tcW w:w="1452" w:type="pct"/>
            <w:shd w:val="clear" w:color="auto" w:fill="D6E3BC" w:themeFill="accent3" w:themeFillTint="66"/>
            <w:vAlign w:val="center"/>
          </w:tcPr>
          <w:p w14:paraId="44C781AB" w14:textId="77777777" w:rsidR="003464F0" w:rsidRPr="0090132B" w:rsidRDefault="003464F0" w:rsidP="008615E1">
            <w:pPr>
              <w:jc w:val="center"/>
              <w:rPr>
                <w:rFonts w:cs="Andalus"/>
              </w:rPr>
            </w:pPr>
            <w:r w:rsidRPr="0090132B">
              <w:rPr>
                <w:rFonts w:cs="Andalus"/>
              </w:rPr>
              <w:t xml:space="preserve">Les possibilités de bourse à la </w:t>
            </w:r>
            <w:r w:rsidR="001C756D">
              <w:rPr>
                <w:rFonts w:cs="Andalus"/>
              </w:rPr>
              <w:t>HE</w:t>
            </w:r>
            <w:r w:rsidRPr="0090132B">
              <w:rPr>
                <w:rFonts w:cs="Andalus"/>
              </w:rPr>
              <w:t>C</w:t>
            </w:r>
            <w:r>
              <w:rPr>
                <w:rFonts w:cs="Andalus"/>
              </w:rPr>
              <w:t xml:space="preserve">h </w:t>
            </w:r>
          </w:p>
        </w:tc>
        <w:tc>
          <w:tcPr>
            <w:tcW w:w="3548" w:type="pct"/>
          </w:tcPr>
          <w:p w14:paraId="34C66220" w14:textId="074E39F8" w:rsidR="003464F0" w:rsidRPr="00021C1B" w:rsidRDefault="003464F0" w:rsidP="003464F0">
            <w:pPr>
              <w:rPr>
                <w:rFonts w:cs="Andalus"/>
                <w:b/>
              </w:rPr>
            </w:pPr>
            <w:r w:rsidRPr="00B05B17">
              <w:rPr>
                <w:rFonts w:cs="Andalus"/>
                <w:b/>
              </w:rPr>
              <w:t>SMP</w:t>
            </w:r>
            <w:r w:rsidRPr="00B05B17">
              <w:rPr>
                <w:rFonts w:cs="Andalus"/>
              </w:rPr>
              <w:t xml:space="preserve"> (Student Mobility for Placement</w:t>
            </w:r>
            <w:r w:rsidR="00E76ED9">
              <w:rPr>
                <w:rFonts w:cs="Andalus"/>
              </w:rPr>
              <w:t xml:space="preserve"> jeunes diplômés</w:t>
            </w:r>
            <w:r w:rsidRPr="00B05B17">
              <w:rPr>
                <w:rFonts w:cs="Andalus"/>
              </w:rPr>
              <w:t>): po</w:t>
            </w:r>
            <w:r>
              <w:rPr>
                <w:rFonts w:cs="Andalus"/>
              </w:rPr>
              <w:t>ur effectuer un stage en Europe</w:t>
            </w:r>
            <w:r w:rsidR="006F4DEC">
              <w:rPr>
                <w:rFonts w:cs="Andalus"/>
              </w:rPr>
              <w:t xml:space="preserve"> que vous aurez choisi</w:t>
            </w:r>
            <w:r>
              <w:rPr>
                <w:rFonts w:cs="Andalus"/>
              </w:rPr>
              <w:t> ; consulter le BRI</w:t>
            </w:r>
            <w:r w:rsidR="00E76ED9">
              <w:rPr>
                <w:rFonts w:cs="Andalus"/>
              </w:rPr>
              <w:t xml:space="preserve"> pour de plus amples détails ; </w:t>
            </w:r>
            <w:r w:rsidR="00E76ED9" w:rsidRPr="001C756D">
              <w:rPr>
                <w:rFonts w:cs="Andalus"/>
                <w:b/>
              </w:rPr>
              <w:t>candidature à soumettre impérativement avant l’obtention du diplôme</w:t>
            </w:r>
            <w:r w:rsidR="00E76ED9">
              <w:rPr>
                <w:rFonts w:cs="Andalus"/>
              </w:rPr>
              <w:t>.</w:t>
            </w:r>
          </w:p>
        </w:tc>
      </w:tr>
    </w:tbl>
    <w:p w14:paraId="124813BC" w14:textId="77777777" w:rsidR="003464F0" w:rsidRPr="0090132B" w:rsidRDefault="003464F0" w:rsidP="003464F0"/>
    <w:tbl>
      <w:tblPr>
        <w:tblStyle w:val="Grilledutableau"/>
        <w:tblW w:w="5000" w:type="pct"/>
        <w:tblLook w:val="04A0" w:firstRow="1" w:lastRow="0" w:firstColumn="1" w:lastColumn="0" w:noHBand="0" w:noVBand="1"/>
      </w:tblPr>
      <w:tblGrid>
        <w:gridCol w:w="4129"/>
        <w:gridCol w:w="10091"/>
      </w:tblGrid>
      <w:tr w:rsidR="00D00CAE" w:rsidRPr="00EE5BE1" w14:paraId="2BBEC503" w14:textId="77777777" w:rsidTr="00F35C1C">
        <w:tc>
          <w:tcPr>
            <w:tcW w:w="5000" w:type="pct"/>
            <w:gridSpan w:val="2"/>
            <w:shd w:val="clear" w:color="auto" w:fill="E5B8B7" w:themeFill="accent2" w:themeFillTint="66"/>
          </w:tcPr>
          <w:p w14:paraId="15900FCF" w14:textId="77777777" w:rsidR="00D00CAE" w:rsidRDefault="00D00CAE" w:rsidP="00F35C1C">
            <w:pPr>
              <w:jc w:val="center"/>
              <w:rPr>
                <w:color w:val="1F497D" w:themeColor="text2"/>
                <w:sz w:val="28"/>
                <w:szCs w:val="28"/>
              </w:rPr>
            </w:pPr>
            <w:r w:rsidRPr="00515C29">
              <w:rPr>
                <w:color w:val="1F497D" w:themeColor="text2"/>
                <w:sz w:val="28"/>
                <w:szCs w:val="28"/>
              </w:rPr>
              <w:t>PRINCIPES DE M</w:t>
            </w:r>
            <w:r>
              <w:rPr>
                <w:color w:val="1F497D" w:themeColor="text2"/>
                <w:sz w:val="28"/>
                <w:szCs w:val="28"/>
              </w:rPr>
              <w:t xml:space="preserve">OBILITE POUR LES MEMBRES DU PERSONNEL </w:t>
            </w:r>
          </w:p>
          <w:p w14:paraId="52BB3D48" w14:textId="10290FE6" w:rsidR="00D00CAE" w:rsidRPr="00515C29" w:rsidRDefault="00136CA9" w:rsidP="00F35C1C">
            <w:pPr>
              <w:jc w:val="center"/>
              <w:rPr>
                <w:color w:val="1F497D" w:themeColor="text2"/>
                <w:sz w:val="28"/>
                <w:szCs w:val="28"/>
              </w:rPr>
            </w:pPr>
            <w:r>
              <w:rPr>
                <w:color w:val="1F497D" w:themeColor="text2"/>
                <w:sz w:val="28"/>
                <w:szCs w:val="28"/>
              </w:rPr>
              <w:t>VERSION 2021/2022</w:t>
            </w:r>
          </w:p>
          <w:p w14:paraId="742ADF20" w14:textId="77777777" w:rsidR="00D00CAE" w:rsidRPr="00EE5BE1" w:rsidRDefault="00D00CAE" w:rsidP="00F35C1C">
            <w:pPr>
              <w:jc w:val="center"/>
              <w:rPr>
                <w:b/>
              </w:rPr>
            </w:pPr>
          </w:p>
        </w:tc>
      </w:tr>
      <w:tr w:rsidR="00D00CAE" w:rsidRPr="0090132B" w14:paraId="58A8E286" w14:textId="77777777" w:rsidTr="00F35C1C">
        <w:tc>
          <w:tcPr>
            <w:tcW w:w="1452" w:type="pct"/>
            <w:shd w:val="clear" w:color="auto" w:fill="D6E3BC" w:themeFill="accent3" w:themeFillTint="66"/>
            <w:vAlign w:val="center"/>
          </w:tcPr>
          <w:p w14:paraId="5098DDA1" w14:textId="77777777" w:rsidR="00D00CAE" w:rsidRPr="0090132B" w:rsidRDefault="00D00CAE" w:rsidP="00F35C1C">
            <w:pPr>
              <w:jc w:val="center"/>
              <w:rPr>
                <w:rFonts w:cs="Andalus"/>
              </w:rPr>
            </w:pPr>
            <w:r w:rsidRPr="0090132B">
              <w:rPr>
                <w:rFonts w:cs="Andalus"/>
              </w:rPr>
              <w:t xml:space="preserve">Les possibilités de bourse à la </w:t>
            </w:r>
            <w:r w:rsidR="001C756D">
              <w:rPr>
                <w:rFonts w:cs="Andalus"/>
              </w:rPr>
              <w:t>HE</w:t>
            </w:r>
            <w:r w:rsidRPr="0090132B">
              <w:rPr>
                <w:rFonts w:cs="Andalus"/>
              </w:rPr>
              <w:t>C</w:t>
            </w:r>
            <w:r>
              <w:rPr>
                <w:rFonts w:cs="Andalus"/>
              </w:rPr>
              <w:t xml:space="preserve">h </w:t>
            </w:r>
          </w:p>
        </w:tc>
        <w:tc>
          <w:tcPr>
            <w:tcW w:w="3548" w:type="pct"/>
          </w:tcPr>
          <w:p w14:paraId="137B45A7" w14:textId="77777777" w:rsidR="006010BE" w:rsidRPr="006010BE" w:rsidRDefault="006010BE" w:rsidP="006010BE">
            <w:pPr>
              <w:rPr>
                <w:rFonts w:cs="Andalus"/>
              </w:rPr>
            </w:pPr>
            <w:r w:rsidRPr="00782985">
              <w:rPr>
                <w:rFonts w:cs="Andalus"/>
                <w:b/>
              </w:rPr>
              <w:t>STA</w:t>
            </w:r>
            <w:r>
              <w:rPr>
                <w:rFonts w:cs="Andalus"/>
              </w:rPr>
              <w:t xml:space="preserve"> (</w:t>
            </w:r>
            <w:r w:rsidRPr="006010BE">
              <w:rPr>
                <w:rFonts w:cs="Andalus"/>
              </w:rPr>
              <w:t xml:space="preserve">Staff </w:t>
            </w:r>
            <w:r>
              <w:rPr>
                <w:rFonts w:cs="Andalus"/>
              </w:rPr>
              <w:t>Mobility for Teaching Assignments)</w:t>
            </w:r>
            <w:r w:rsidRPr="006010BE">
              <w:rPr>
                <w:rFonts w:cs="Andalus"/>
              </w:rPr>
              <w:t xml:space="preserve"> : pour enseigner ou se former à l’étranger. Entre 5 jours et 6 semaines, minimum 8H d’activités d’enseignement</w:t>
            </w:r>
            <w:r w:rsidR="00B11C9C">
              <w:rPr>
                <w:rFonts w:cs="Andalus"/>
              </w:rPr>
              <w:t xml:space="preserve"> (cours, séminaires/ateliers/TP, échanges pédagogiques)</w:t>
            </w:r>
            <w:r w:rsidRPr="006010BE">
              <w:rPr>
                <w:rFonts w:cs="Andalus"/>
              </w:rPr>
              <w:t>.</w:t>
            </w:r>
          </w:p>
          <w:p w14:paraId="7B2BDB2D" w14:textId="77777777" w:rsidR="006010BE" w:rsidRPr="006010BE" w:rsidRDefault="006010BE" w:rsidP="006010BE">
            <w:pPr>
              <w:rPr>
                <w:rFonts w:cs="Andalus"/>
              </w:rPr>
            </w:pPr>
            <w:r w:rsidRPr="00782985">
              <w:rPr>
                <w:rFonts w:cs="Andalus"/>
                <w:b/>
              </w:rPr>
              <w:t>STT</w:t>
            </w:r>
            <w:r>
              <w:rPr>
                <w:rFonts w:cs="Andalus"/>
              </w:rPr>
              <w:t xml:space="preserve"> (</w:t>
            </w:r>
            <w:r w:rsidRPr="006010BE">
              <w:rPr>
                <w:rFonts w:cs="Andalus"/>
              </w:rPr>
              <w:t xml:space="preserve">Staff </w:t>
            </w:r>
            <w:r>
              <w:rPr>
                <w:rFonts w:cs="Andalus"/>
              </w:rPr>
              <w:t>Mobility for Teacher T</w:t>
            </w:r>
            <w:r w:rsidRPr="006010BE">
              <w:rPr>
                <w:rFonts w:cs="Andalus"/>
              </w:rPr>
              <w:t>raining) pour participer à des cours de langues, conférences, séminaires, workshops… Cela contribue au perfectionnement professionnel du membre du personnel.</w:t>
            </w:r>
          </w:p>
          <w:p w14:paraId="5C844070" w14:textId="7F291395" w:rsidR="00D00CAE" w:rsidRPr="00021C1B" w:rsidRDefault="00021C1B" w:rsidP="00F35C1C">
            <w:pPr>
              <w:rPr>
                <w:rFonts w:cs="Andalus"/>
                <w:b/>
              </w:rPr>
            </w:pPr>
            <w:r w:rsidRPr="00021C1B">
              <w:rPr>
                <w:rFonts w:cs="Andalus"/>
                <w:b/>
              </w:rPr>
              <w:t>STA</w:t>
            </w:r>
            <w:r w:rsidR="001C756D">
              <w:rPr>
                <w:rFonts w:cs="Andalus"/>
                <w:b/>
              </w:rPr>
              <w:t xml:space="preserve"> </w:t>
            </w:r>
            <w:r w:rsidRPr="00021C1B">
              <w:rPr>
                <w:rFonts w:cs="Andalus"/>
                <w:b/>
              </w:rPr>
              <w:t>+</w:t>
            </w:r>
            <w:r w:rsidR="001C756D">
              <w:rPr>
                <w:rFonts w:cs="Andalus"/>
                <w:b/>
              </w:rPr>
              <w:t xml:space="preserve"> </w:t>
            </w:r>
            <w:r w:rsidRPr="00021C1B">
              <w:rPr>
                <w:rFonts w:cs="Andalus"/>
                <w:b/>
              </w:rPr>
              <w:t>STT combinés</w:t>
            </w:r>
            <w:r w:rsidR="001C756D">
              <w:rPr>
                <w:rFonts w:cs="Andalus"/>
                <w:b/>
              </w:rPr>
              <w:t> </w:t>
            </w:r>
            <w:r w:rsidR="001C756D" w:rsidRPr="001C756D">
              <w:rPr>
                <w:rFonts w:cs="Andalus"/>
              </w:rPr>
              <w:t>: 4H d’activités d’enseignement</w:t>
            </w:r>
            <w:r w:rsidR="001C756D">
              <w:rPr>
                <w:rFonts w:cs="Andalus"/>
              </w:rPr>
              <w:t xml:space="preserve"> + formation</w:t>
            </w:r>
            <w:r w:rsidR="00136CA9">
              <w:rPr>
                <w:rFonts w:cs="Andalus"/>
              </w:rPr>
              <w:t xml:space="preserve">. </w:t>
            </w:r>
            <w:bookmarkStart w:id="0" w:name="_GoBack"/>
            <w:bookmarkEnd w:id="0"/>
          </w:p>
        </w:tc>
      </w:tr>
    </w:tbl>
    <w:p w14:paraId="620726B7" w14:textId="77777777" w:rsidR="003B1F62" w:rsidRPr="0090132B" w:rsidRDefault="003B1F62" w:rsidP="00615670"/>
    <w:sectPr w:rsidR="003B1F62" w:rsidRPr="0090132B" w:rsidSect="00CD6B77">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506B9" w14:textId="77777777" w:rsidR="00CC35ED" w:rsidRDefault="00CC35ED" w:rsidP="00983670">
      <w:pPr>
        <w:spacing w:after="0" w:line="240" w:lineRule="auto"/>
      </w:pPr>
      <w:r>
        <w:separator/>
      </w:r>
    </w:p>
  </w:endnote>
  <w:endnote w:type="continuationSeparator" w:id="0">
    <w:p w14:paraId="208FAED7" w14:textId="77777777" w:rsidR="00CC35ED" w:rsidRDefault="00CC35ED" w:rsidP="0098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ndalus"/>
        <w:i/>
        <w:sz w:val="18"/>
        <w:szCs w:val="18"/>
      </w:rPr>
      <w:id w:val="-432821380"/>
      <w:docPartObj>
        <w:docPartGallery w:val="Page Numbers (Bottom of Page)"/>
        <w:docPartUnique/>
      </w:docPartObj>
    </w:sdtPr>
    <w:sdtEndPr>
      <w:rPr>
        <w:sz w:val="20"/>
        <w:szCs w:val="20"/>
      </w:rPr>
    </w:sdtEndPr>
    <w:sdtContent>
      <w:p w14:paraId="12F81683" w14:textId="70B499FF" w:rsidR="00983670" w:rsidRPr="00136CA9" w:rsidRDefault="00136CA9">
        <w:pPr>
          <w:pStyle w:val="Pieddepage"/>
          <w:jc w:val="right"/>
          <w:rPr>
            <w:rFonts w:cs="Andalus"/>
            <w:i/>
            <w:sz w:val="20"/>
            <w:szCs w:val="20"/>
          </w:rPr>
        </w:pPr>
        <w:r w:rsidRPr="00136CA9">
          <w:rPr>
            <w:rFonts w:cs="Andalus"/>
            <w:i/>
            <w:sz w:val="20"/>
            <w:szCs w:val="20"/>
          </w:rPr>
          <w:t xml:space="preserve">Principes de Mobilité </w:t>
        </w:r>
        <w:r w:rsidR="00515C29" w:rsidRPr="00136CA9">
          <w:rPr>
            <w:rFonts w:cs="Andalus"/>
            <w:i/>
            <w:sz w:val="20"/>
            <w:szCs w:val="20"/>
          </w:rPr>
          <w:t>OUTGOING/Péda</w:t>
        </w:r>
        <w:r w:rsidR="00B516FD" w:rsidRPr="00136CA9">
          <w:rPr>
            <w:rFonts w:cs="Andalus"/>
            <w:i/>
            <w:sz w:val="20"/>
            <w:szCs w:val="20"/>
          </w:rPr>
          <w:t xml:space="preserve"> </w:t>
        </w:r>
        <w:r w:rsidR="00983670" w:rsidRPr="00136CA9">
          <w:rPr>
            <w:rFonts w:cs="Andalus"/>
            <w:i/>
            <w:sz w:val="20"/>
            <w:szCs w:val="20"/>
          </w:rPr>
          <w:t>– Do</w:t>
        </w:r>
        <w:r w:rsidR="0045468C" w:rsidRPr="00136CA9">
          <w:rPr>
            <w:rFonts w:cs="Andalus"/>
            <w:i/>
            <w:sz w:val="20"/>
            <w:szCs w:val="20"/>
          </w:rPr>
          <w:t xml:space="preserve">cument inspiré du RGEJ </w:t>
        </w:r>
        <w:r w:rsidR="00321B60" w:rsidRPr="00136CA9">
          <w:rPr>
            <w:rFonts w:cs="Andalus"/>
            <w:i/>
            <w:sz w:val="20"/>
            <w:szCs w:val="20"/>
          </w:rPr>
          <w:t>de la HE</w:t>
        </w:r>
        <w:r w:rsidR="00A64311" w:rsidRPr="00136CA9">
          <w:rPr>
            <w:rFonts w:cs="Andalus"/>
            <w:i/>
            <w:sz w:val="20"/>
            <w:szCs w:val="20"/>
          </w:rPr>
          <w:t>Ch</w:t>
        </w:r>
        <w:r w:rsidR="00983670" w:rsidRPr="00136CA9">
          <w:rPr>
            <w:rFonts w:cs="Andalus"/>
            <w:i/>
            <w:sz w:val="20"/>
            <w:szCs w:val="20"/>
          </w:rPr>
          <w:t xml:space="preserve"> et du Guide des bonnes pratiques en matière de Mobilité – </w:t>
        </w:r>
        <w:r w:rsidR="00B516FD" w:rsidRPr="00136CA9">
          <w:rPr>
            <w:rFonts w:cs="Andalus"/>
            <w:i/>
            <w:sz w:val="20"/>
            <w:szCs w:val="20"/>
          </w:rPr>
          <w:t>Sylvie Poizat  - Année 2</w:t>
        </w:r>
        <w:r w:rsidRPr="00136CA9">
          <w:rPr>
            <w:rFonts w:cs="Andalus"/>
            <w:i/>
            <w:sz w:val="20"/>
            <w:szCs w:val="20"/>
          </w:rPr>
          <w:t>021/22</w:t>
        </w:r>
        <w:r w:rsidR="00983670" w:rsidRPr="00136CA9">
          <w:rPr>
            <w:rFonts w:cs="Andalus"/>
            <w:i/>
            <w:sz w:val="20"/>
            <w:szCs w:val="20"/>
          </w:rPr>
          <w:t xml:space="preserve"> </w:t>
        </w:r>
      </w:p>
    </w:sdtContent>
  </w:sdt>
  <w:p w14:paraId="52845144" w14:textId="77777777" w:rsidR="00983670" w:rsidRPr="008D29EC" w:rsidRDefault="00983670">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11FC" w14:textId="77777777" w:rsidR="00CC35ED" w:rsidRDefault="00CC35ED" w:rsidP="00983670">
      <w:pPr>
        <w:spacing w:after="0" w:line="240" w:lineRule="auto"/>
      </w:pPr>
      <w:r>
        <w:separator/>
      </w:r>
    </w:p>
  </w:footnote>
  <w:footnote w:type="continuationSeparator" w:id="0">
    <w:p w14:paraId="681FF132" w14:textId="77777777" w:rsidR="00CC35ED" w:rsidRDefault="00CC35ED" w:rsidP="0098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28281"/>
      <w:docPartObj>
        <w:docPartGallery w:val="Page Numbers (Margins)"/>
        <w:docPartUnique/>
      </w:docPartObj>
    </w:sdtPr>
    <w:sdtEndPr/>
    <w:sdtContent>
      <w:p w14:paraId="36D2CFFC" w14:textId="77777777" w:rsidR="00983670" w:rsidRDefault="00136CA9">
        <w:pPr>
          <w:pStyle w:val="En-tte"/>
        </w:pPr>
        <w:r>
          <w:rPr>
            <w:noProof/>
          </w:rPr>
          <w:pict w14:anchorId="5AE1404D">
            <v:rect id="Rectangle 9" o:spid="_x0000_s2051"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OGeg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lBgp0oFJn0E2ojaSozII1BtXQd6jebChRGfuNf3mkNJ3LWTxG2t133LCgFYW8pOLAyFwcBSt+w+a&#10;ATrZeh212je2C4CgAtpHS55OlvC9RxRezqbgMhhHYWteFm+KaFlCquNhY51/x3WHwqLGFqhHcLK7&#10;dz6QIdUxJZLXUrCVkDIGdrO+kxbtCHTHKv4if6jxPA24AFY4EFhFV3+U2SRPbyflaDWdz0b5Ki9G&#10;5Sydj9KsvC2naV7my9XPQCTLq1YwxtW9UPzYYVn+dw4een3ojdhjqK9xWUyKWOMFS3deDGgWZBvq&#10;v0jrhIeBk6IDPU9JpAr+vVUMDpDKEyGHdXJJP6oJGhz/oyrR7WDw0Ch+v94DSnB9rdkT+G41+AIW&#10;wi0Bi1bbZ4x6mLgau+9bYjlG8r2C3imzPA8jGoO8mE0gsOc76/MdoihA1dhjNCzv/DDWW2PFpoUv&#10;ZVEjpW+g3xoRe+GF1aFLYapiMYcbIIzteRyzXu6pxS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BkR44Z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14:paraId="166925F1" w14:textId="6814C42B" w:rsidR="0082797E" w:rsidRDefault="0082797E">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36CA9" w:rsidRPr="00136CA9">
                          <w:rPr>
                            <w:rFonts w:asciiTheme="majorHAnsi" w:eastAsiaTheme="majorEastAsia" w:hAnsiTheme="majorHAnsi" w:cstheme="majorBidi"/>
                            <w:noProof/>
                            <w:sz w:val="48"/>
                            <w:szCs w:val="48"/>
                            <w:lang w:val="fr-FR"/>
                          </w:rPr>
                          <w:t>6</w:t>
                        </w:r>
                        <w:r>
                          <w:rPr>
                            <w:rFonts w:asciiTheme="majorHAnsi" w:eastAsiaTheme="majorEastAsia" w:hAnsiTheme="majorHAnsi" w:cstheme="majorBidi"/>
                            <w:sz w:val="48"/>
                            <w:szCs w:val="48"/>
                          </w:rPr>
                          <w:fldChar w:fldCharType="end"/>
                        </w:r>
                      </w:p>
                    </w:sdtContent>
                  </w:sdt>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5F15"/>
    <w:multiLevelType w:val="hybridMultilevel"/>
    <w:tmpl w:val="C4C41582"/>
    <w:lvl w:ilvl="0" w:tplc="191EF70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B77"/>
    <w:rsid w:val="0000348D"/>
    <w:rsid w:val="0000559E"/>
    <w:rsid w:val="00012D1B"/>
    <w:rsid w:val="00016073"/>
    <w:rsid w:val="00021C1B"/>
    <w:rsid w:val="00025B64"/>
    <w:rsid w:val="00032C73"/>
    <w:rsid w:val="00034178"/>
    <w:rsid w:val="00047814"/>
    <w:rsid w:val="00051A11"/>
    <w:rsid w:val="0007602F"/>
    <w:rsid w:val="00083864"/>
    <w:rsid w:val="000A785E"/>
    <w:rsid w:val="000C3B22"/>
    <w:rsid w:val="000C44D5"/>
    <w:rsid w:val="000D1E50"/>
    <w:rsid w:val="000D418C"/>
    <w:rsid w:val="000D7318"/>
    <w:rsid w:val="000E2DB6"/>
    <w:rsid w:val="000F4755"/>
    <w:rsid w:val="00111586"/>
    <w:rsid w:val="00125B05"/>
    <w:rsid w:val="00125BBD"/>
    <w:rsid w:val="0013579C"/>
    <w:rsid w:val="00136CA9"/>
    <w:rsid w:val="0014439C"/>
    <w:rsid w:val="00156CF8"/>
    <w:rsid w:val="00160789"/>
    <w:rsid w:val="0016444C"/>
    <w:rsid w:val="00171AB4"/>
    <w:rsid w:val="0017528B"/>
    <w:rsid w:val="00176A24"/>
    <w:rsid w:val="00186793"/>
    <w:rsid w:val="00186861"/>
    <w:rsid w:val="001874E0"/>
    <w:rsid w:val="00195257"/>
    <w:rsid w:val="001A6030"/>
    <w:rsid w:val="001A75DC"/>
    <w:rsid w:val="001B7A71"/>
    <w:rsid w:val="001C63B5"/>
    <w:rsid w:val="001C692E"/>
    <w:rsid w:val="001C756D"/>
    <w:rsid w:val="001D19E4"/>
    <w:rsid w:val="001D1D36"/>
    <w:rsid w:val="001D2CC9"/>
    <w:rsid w:val="001D4688"/>
    <w:rsid w:val="001E083C"/>
    <w:rsid w:val="001E5759"/>
    <w:rsid w:val="002145F3"/>
    <w:rsid w:val="002261AF"/>
    <w:rsid w:val="00227C45"/>
    <w:rsid w:val="00244D95"/>
    <w:rsid w:val="00256853"/>
    <w:rsid w:val="002731BB"/>
    <w:rsid w:val="00293663"/>
    <w:rsid w:val="002A4450"/>
    <w:rsid w:val="002D206B"/>
    <w:rsid w:val="002D60DF"/>
    <w:rsid w:val="002E2DF2"/>
    <w:rsid w:val="00304A9C"/>
    <w:rsid w:val="00306D80"/>
    <w:rsid w:val="00316C0C"/>
    <w:rsid w:val="00321B60"/>
    <w:rsid w:val="00321F56"/>
    <w:rsid w:val="00323D90"/>
    <w:rsid w:val="00336B44"/>
    <w:rsid w:val="003464F0"/>
    <w:rsid w:val="0035174F"/>
    <w:rsid w:val="00352F51"/>
    <w:rsid w:val="00376309"/>
    <w:rsid w:val="00381E7A"/>
    <w:rsid w:val="0038263D"/>
    <w:rsid w:val="00386CCE"/>
    <w:rsid w:val="003873D8"/>
    <w:rsid w:val="003B1F62"/>
    <w:rsid w:val="003C79C6"/>
    <w:rsid w:val="003E2B5E"/>
    <w:rsid w:val="003E7CE8"/>
    <w:rsid w:val="004438F2"/>
    <w:rsid w:val="004520E7"/>
    <w:rsid w:val="0045468C"/>
    <w:rsid w:val="00463E12"/>
    <w:rsid w:val="004660EF"/>
    <w:rsid w:val="004979A1"/>
    <w:rsid w:val="004B5AB2"/>
    <w:rsid w:val="004B6308"/>
    <w:rsid w:val="004B6C47"/>
    <w:rsid w:val="004C425C"/>
    <w:rsid w:val="004D1C44"/>
    <w:rsid w:val="004F2A9A"/>
    <w:rsid w:val="005021D7"/>
    <w:rsid w:val="0050470C"/>
    <w:rsid w:val="005047CC"/>
    <w:rsid w:val="00505295"/>
    <w:rsid w:val="0050675E"/>
    <w:rsid w:val="005120D7"/>
    <w:rsid w:val="00514DC8"/>
    <w:rsid w:val="00515C29"/>
    <w:rsid w:val="00523BBE"/>
    <w:rsid w:val="005405FE"/>
    <w:rsid w:val="00550C25"/>
    <w:rsid w:val="00586AD5"/>
    <w:rsid w:val="0059060A"/>
    <w:rsid w:val="005A6DC8"/>
    <w:rsid w:val="005B0C82"/>
    <w:rsid w:val="005B2107"/>
    <w:rsid w:val="005C2C77"/>
    <w:rsid w:val="005C41A7"/>
    <w:rsid w:val="005E0232"/>
    <w:rsid w:val="005E115A"/>
    <w:rsid w:val="005E4DE8"/>
    <w:rsid w:val="006010BE"/>
    <w:rsid w:val="00604373"/>
    <w:rsid w:val="00611701"/>
    <w:rsid w:val="0061257E"/>
    <w:rsid w:val="00615670"/>
    <w:rsid w:val="00634F3E"/>
    <w:rsid w:val="00647021"/>
    <w:rsid w:val="0064763F"/>
    <w:rsid w:val="00660016"/>
    <w:rsid w:val="006608AE"/>
    <w:rsid w:val="00661A57"/>
    <w:rsid w:val="006823E3"/>
    <w:rsid w:val="006834B6"/>
    <w:rsid w:val="00685053"/>
    <w:rsid w:val="006917C1"/>
    <w:rsid w:val="0069280C"/>
    <w:rsid w:val="00692E22"/>
    <w:rsid w:val="00693E51"/>
    <w:rsid w:val="006B2A7B"/>
    <w:rsid w:val="006C05C9"/>
    <w:rsid w:val="006C0A1B"/>
    <w:rsid w:val="006C39A0"/>
    <w:rsid w:val="006C3B22"/>
    <w:rsid w:val="006D660A"/>
    <w:rsid w:val="006E4746"/>
    <w:rsid w:val="006E68A8"/>
    <w:rsid w:val="006F4473"/>
    <w:rsid w:val="006F4DEC"/>
    <w:rsid w:val="00700204"/>
    <w:rsid w:val="007042D0"/>
    <w:rsid w:val="007142F2"/>
    <w:rsid w:val="00730D83"/>
    <w:rsid w:val="00731477"/>
    <w:rsid w:val="00744C9E"/>
    <w:rsid w:val="00764422"/>
    <w:rsid w:val="00774C87"/>
    <w:rsid w:val="00782985"/>
    <w:rsid w:val="007864EA"/>
    <w:rsid w:val="007876A0"/>
    <w:rsid w:val="00791C25"/>
    <w:rsid w:val="00793474"/>
    <w:rsid w:val="007C07F0"/>
    <w:rsid w:val="007C68EE"/>
    <w:rsid w:val="007F2BE9"/>
    <w:rsid w:val="007F5EE8"/>
    <w:rsid w:val="008009B1"/>
    <w:rsid w:val="00805176"/>
    <w:rsid w:val="00820900"/>
    <w:rsid w:val="0082405C"/>
    <w:rsid w:val="0082797E"/>
    <w:rsid w:val="008356FF"/>
    <w:rsid w:val="0084093D"/>
    <w:rsid w:val="00841553"/>
    <w:rsid w:val="008513B6"/>
    <w:rsid w:val="0085774A"/>
    <w:rsid w:val="00870A6C"/>
    <w:rsid w:val="008765FE"/>
    <w:rsid w:val="0087700B"/>
    <w:rsid w:val="008915F9"/>
    <w:rsid w:val="008B382F"/>
    <w:rsid w:val="008C27B1"/>
    <w:rsid w:val="008C7E04"/>
    <w:rsid w:val="008D29EC"/>
    <w:rsid w:val="008D3E51"/>
    <w:rsid w:val="008D5756"/>
    <w:rsid w:val="008F6043"/>
    <w:rsid w:val="0090132B"/>
    <w:rsid w:val="00903C0C"/>
    <w:rsid w:val="009053FA"/>
    <w:rsid w:val="0091338A"/>
    <w:rsid w:val="0092578C"/>
    <w:rsid w:val="00930A4F"/>
    <w:rsid w:val="009619B7"/>
    <w:rsid w:val="009667DD"/>
    <w:rsid w:val="009677D4"/>
    <w:rsid w:val="00981F77"/>
    <w:rsid w:val="0098254B"/>
    <w:rsid w:val="00983670"/>
    <w:rsid w:val="00983F39"/>
    <w:rsid w:val="00984C0D"/>
    <w:rsid w:val="0099165D"/>
    <w:rsid w:val="00994177"/>
    <w:rsid w:val="0099501F"/>
    <w:rsid w:val="00995DC7"/>
    <w:rsid w:val="009A17F2"/>
    <w:rsid w:val="009D31BA"/>
    <w:rsid w:val="009D7234"/>
    <w:rsid w:val="009E0134"/>
    <w:rsid w:val="009E5C34"/>
    <w:rsid w:val="009F2882"/>
    <w:rsid w:val="00A040C2"/>
    <w:rsid w:val="00A06F43"/>
    <w:rsid w:val="00A202E9"/>
    <w:rsid w:val="00A2497F"/>
    <w:rsid w:val="00A262B8"/>
    <w:rsid w:val="00A27FCF"/>
    <w:rsid w:val="00A566A4"/>
    <w:rsid w:val="00A64311"/>
    <w:rsid w:val="00A72BF8"/>
    <w:rsid w:val="00A81E3D"/>
    <w:rsid w:val="00A85256"/>
    <w:rsid w:val="00AA398C"/>
    <w:rsid w:val="00AA4939"/>
    <w:rsid w:val="00AB091B"/>
    <w:rsid w:val="00AB2340"/>
    <w:rsid w:val="00AD5A99"/>
    <w:rsid w:val="00AE5E86"/>
    <w:rsid w:val="00AF13F5"/>
    <w:rsid w:val="00AF294D"/>
    <w:rsid w:val="00AF4151"/>
    <w:rsid w:val="00AF5B9F"/>
    <w:rsid w:val="00B05B17"/>
    <w:rsid w:val="00B11C9C"/>
    <w:rsid w:val="00B2159B"/>
    <w:rsid w:val="00B27320"/>
    <w:rsid w:val="00B414E0"/>
    <w:rsid w:val="00B415F5"/>
    <w:rsid w:val="00B5062F"/>
    <w:rsid w:val="00B516FD"/>
    <w:rsid w:val="00B5398A"/>
    <w:rsid w:val="00B5630D"/>
    <w:rsid w:val="00B77D41"/>
    <w:rsid w:val="00B85917"/>
    <w:rsid w:val="00B901A7"/>
    <w:rsid w:val="00BA4409"/>
    <w:rsid w:val="00BB4B5B"/>
    <w:rsid w:val="00BB6325"/>
    <w:rsid w:val="00BD0D5C"/>
    <w:rsid w:val="00BF1577"/>
    <w:rsid w:val="00C032A8"/>
    <w:rsid w:val="00C16C4D"/>
    <w:rsid w:val="00C23C29"/>
    <w:rsid w:val="00C3160B"/>
    <w:rsid w:val="00C4172E"/>
    <w:rsid w:val="00C86115"/>
    <w:rsid w:val="00C86AB2"/>
    <w:rsid w:val="00CA7487"/>
    <w:rsid w:val="00CC35ED"/>
    <w:rsid w:val="00CC4E32"/>
    <w:rsid w:val="00CD6B77"/>
    <w:rsid w:val="00CE0108"/>
    <w:rsid w:val="00CE4711"/>
    <w:rsid w:val="00D00CAE"/>
    <w:rsid w:val="00D32B76"/>
    <w:rsid w:val="00D42AA7"/>
    <w:rsid w:val="00D42C41"/>
    <w:rsid w:val="00D4434B"/>
    <w:rsid w:val="00D503C3"/>
    <w:rsid w:val="00D50E27"/>
    <w:rsid w:val="00D5253E"/>
    <w:rsid w:val="00D54F20"/>
    <w:rsid w:val="00D608FF"/>
    <w:rsid w:val="00D6307E"/>
    <w:rsid w:val="00D67E34"/>
    <w:rsid w:val="00D77D1D"/>
    <w:rsid w:val="00D85E86"/>
    <w:rsid w:val="00D920F9"/>
    <w:rsid w:val="00D936EA"/>
    <w:rsid w:val="00DA5BE1"/>
    <w:rsid w:val="00DB2FBD"/>
    <w:rsid w:val="00DB37CA"/>
    <w:rsid w:val="00DD115B"/>
    <w:rsid w:val="00DE239A"/>
    <w:rsid w:val="00DF3145"/>
    <w:rsid w:val="00DF37CB"/>
    <w:rsid w:val="00DF5C78"/>
    <w:rsid w:val="00E033CB"/>
    <w:rsid w:val="00E105BD"/>
    <w:rsid w:val="00E1680D"/>
    <w:rsid w:val="00E20CB8"/>
    <w:rsid w:val="00E30A24"/>
    <w:rsid w:val="00E33200"/>
    <w:rsid w:val="00E45474"/>
    <w:rsid w:val="00E47907"/>
    <w:rsid w:val="00E72BF4"/>
    <w:rsid w:val="00E76ED9"/>
    <w:rsid w:val="00E837FA"/>
    <w:rsid w:val="00E90351"/>
    <w:rsid w:val="00ED68F1"/>
    <w:rsid w:val="00EE40F3"/>
    <w:rsid w:val="00EE5BE1"/>
    <w:rsid w:val="00EE7935"/>
    <w:rsid w:val="00EF413B"/>
    <w:rsid w:val="00F06023"/>
    <w:rsid w:val="00F077F3"/>
    <w:rsid w:val="00F07A08"/>
    <w:rsid w:val="00F118A1"/>
    <w:rsid w:val="00F2012D"/>
    <w:rsid w:val="00F375F0"/>
    <w:rsid w:val="00F458EC"/>
    <w:rsid w:val="00F47CE4"/>
    <w:rsid w:val="00F5073A"/>
    <w:rsid w:val="00F55E5E"/>
    <w:rsid w:val="00F55FCF"/>
    <w:rsid w:val="00F7724D"/>
    <w:rsid w:val="00F803CE"/>
    <w:rsid w:val="00FA6663"/>
    <w:rsid w:val="00FC39AA"/>
    <w:rsid w:val="00FC762F"/>
    <w:rsid w:val="00FD7E6F"/>
    <w:rsid w:val="00FF72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E93F27"/>
  <w15:docId w15:val="{ED2980B9-09A9-4945-8343-B9D98C29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4755"/>
    <w:pPr>
      <w:ind w:left="720"/>
      <w:contextualSpacing/>
    </w:pPr>
  </w:style>
  <w:style w:type="paragraph" w:styleId="En-tte">
    <w:name w:val="header"/>
    <w:basedOn w:val="Normal"/>
    <w:link w:val="En-tteCar"/>
    <w:uiPriority w:val="99"/>
    <w:unhideWhenUsed/>
    <w:rsid w:val="00983670"/>
    <w:pPr>
      <w:tabs>
        <w:tab w:val="center" w:pos="4536"/>
        <w:tab w:val="right" w:pos="9072"/>
      </w:tabs>
      <w:spacing w:after="0" w:line="240" w:lineRule="auto"/>
    </w:pPr>
  </w:style>
  <w:style w:type="character" w:customStyle="1" w:styleId="En-tteCar">
    <w:name w:val="En-tête Car"/>
    <w:basedOn w:val="Policepardfaut"/>
    <w:link w:val="En-tte"/>
    <w:uiPriority w:val="99"/>
    <w:rsid w:val="00983670"/>
  </w:style>
  <w:style w:type="paragraph" w:styleId="Pieddepage">
    <w:name w:val="footer"/>
    <w:basedOn w:val="Normal"/>
    <w:link w:val="PieddepageCar"/>
    <w:uiPriority w:val="99"/>
    <w:unhideWhenUsed/>
    <w:rsid w:val="009836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670"/>
  </w:style>
  <w:style w:type="paragraph" w:styleId="Textedebulles">
    <w:name w:val="Balloon Text"/>
    <w:basedOn w:val="Normal"/>
    <w:link w:val="TextedebullesCar"/>
    <w:uiPriority w:val="99"/>
    <w:semiHidden/>
    <w:unhideWhenUsed/>
    <w:rsid w:val="00AB2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340"/>
    <w:rPr>
      <w:rFonts w:ascii="Tahoma" w:hAnsi="Tahoma" w:cs="Tahoma"/>
      <w:sz w:val="16"/>
      <w:szCs w:val="16"/>
    </w:rPr>
  </w:style>
  <w:style w:type="character" w:styleId="Lienhypertexte">
    <w:name w:val="Hyperlink"/>
    <w:basedOn w:val="Policepardfaut"/>
    <w:uiPriority w:val="99"/>
    <w:unhideWhenUsed/>
    <w:rsid w:val="009D31BA"/>
    <w:rPr>
      <w:color w:val="0000FF" w:themeColor="hyperlink"/>
      <w:u w:val="single"/>
    </w:rPr>
  </w:style>
  <w:style w:type="table" w:customStyle="1" w:styleId="Grilledutableau1">
    <w:name w:val="Grille du tableau1"/>
    <w:basedOn w:val="TableauNormal"/>
    <w:next w:val="Grilledutableau"/>
    <w:uiPriority w:val="59"/>
    <w:rsid w:val="002A44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8069">
      <w:bodyDiv w:val="1"/>
      <w:marLeft w:val="0"/>
      <w:marRight w:val="0"/>
      <w:marTop w:val="0"/>
      <w:marBottom w:val="0"/>
      <w:divBdr>
        <w:top w:val="none" w:sz="0" w:space="0" w:color="auto"/>
        <w:left w:val="none" w:sz="0" w:space="0" w:color="auto"/>
        <w:bottom w:val="none" w:sz="0" w:space="0" w:color="auto"/>
        <w:right w:val="none" w:sz="0" w:space="0" w:color="auto"/>
      </w:divBdr>
    </w:div>
    <w:div w:id="538400928">
      <w:bodyDiv w:val="1"/>
      <w:marLeft w:val="0"/>
      <w:marRight w:val="0"/>
      <w:marTop w:val="0"/>
      <w:marBottom w:val="0"/>
      <w:divBdr>
        <w:top w:val="none" w:sz="0" w:space="0" w:color="auto"/>
        <w:left w:val="none" w:sz="0" w:space="0" w:color="auto"/>
        <w:bottom w:val="none" w:sz="0" w:space="0" w:color="auto"/>
        <w:right w:val="none" w:sz="0" w:space="0" w:color="auto"/>
      </w:divBdr>
    </w:div>
    <w:div w:id="1022587099">
      <w:bodyDiv w:val="1"/>
      <w:marLeft w:val="0"/>
      <w:marRight w:val="0"/>
      <w:marTop w:val="0"/>
      <w:marBottom w:val="0"/>
      <w:divBdr>
        <w:top w:val="none" w:sz="0" w:space="0" w:color="auto"/>
        <w:left w:val="none" w:sz="0" w:space="0" w:color="auto"/>
        <w:bottom w:val="none" w:sz="0" w:space="0" w:color="auto"/>
        <w:right w:val="none" w:sz="0" w:space="0" w:color="auto"/>
      </w:divBdr>
    </w:div>
    <w:div w:id="1363020121">
      <w:bodyDiv w:val="1"/>
      <w:marLeft w:val="0"/>
      <w:marRight w:val="0"/>
      <w:marTop w:val="0"/>
      <w:marBottom w:val="0"/>
      <w:divBdr>
        <w:top w:val="none" w:sz="0" w:space="0" w:color="auto"/>
        <w:left w:val="none" w:sz="0" w:space="0" w:color="auto"/>
        <w:bottom w:val="none" w:sz="0" w:space="0" w:color="auto"/>
        <w:right w:val="none" w:sz="0" w:space="0" w:color="auto"/>
      </w:divBdr>
    </w:div>
    <w:div w:id="1753887538">
      <w:bodyDiv w:val="1"/>
      <w:marLeft w:val="0"/>
      <w:marRight w:val="0"/>
      <w:marTop w:val="0"/>
      <w:marBottom w:val="0"/>
      <w:divBdr>
        <w:top w:val="none" w:sz="0" w:space="0" w:color="auto"/>
        <w:left w:val="none" w:sz="0" w:space="0" w:color="auto"/>
        <w:bottom w:val="none" w:sz="0" w:space="0" w:color="auto"/>
        <w:right w:val="none" w:sz="0" w:space="0" w:color="auto"/>
      </w:divBdr>
    </w:div>
    <w:div w:id="19300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poizat@hech.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hech.be/fr/nos-services/relations-internationales" TargetMode="External"/><Relationship Id="rId4" Type="http://schemas.openxmlformats.org/officeDocument/2006/relationships/settings" Target="settings.xml"/><Relationship Id="rId9" Type="http://schemas.openxmlformats.org/officeDocument/2006/relationships/hyperlink" Target="mailto:relinter@hech.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769bfc32270e16ee9a431f6d758d34ae">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9721d77059d107a6f80c65c9e4791f5a"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1D581-D5A1-47DF-9BC1-F8B437B51D1F}">
  <ds:schemaRefs>
    <ds:schemaRef ds:uri="http://schemas.openxmlformats.org/officeDocument/2006/bibliography"/>
  </ds:schemaRefs>
</ds:datastoreItem>
</file>

<file path=customXml/itemProps2.xml><?xml version="1.0" encoding="utf-8"?>
<ds:datastoreItem xmlns:ds="http://schemas.openxmlformats.org/officeDocument/2006/customXml" ds:itemID="{67156F0C-65D7-409B-8CF4-4EB2280BB5DE}"/>
</file>

<file path=customXml/itemProps3.xml><?xml version="1.0" encoding="utf-8"?>
<ds:datastoreItem xmlns:ds="http://schemas.openxmlformats.org/officeDocument/2006/customXml" ds:itemID="{251BD59A-2DC3-4DA4-A13E-EBC6AD7C6249}"/>
</file>

<file path=customXml/itemProps4.xml><?xml version="1.0" encoding="utf-8"?>
<ds:datastoreItem xmlns:ds="http://schemas.openxmlformats.org/officeDocument/2006/customXml" ds:itemID="{7AD1A208-606D-47FD-BAAE-7B7CCD6BEDF0}"/>
</file>

<file path=docProps/app.xml><?xml version="1.0" encoding="utf-8"?>
<Properties xmlns="http://schemas.openxmlformats.org/officeDocument/2006/extended-properties" xmlns:vt="http://schemas.openxmlformats.org/officeDocument/2006/docPropsVTypes">
  <Template>Normal</Template>
  <TotalTime>1114</TotalTime>
  <Pages>6</Pages>
  <Words>2730</Words>
  <Characters>15017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Anico</dc:creator>
  <cp:lastModifiedBy>Sylvie</cp:lastModifiedBy>
  <cp:revision>172</cp:revision>
  <dcterms:created xsi:type="dcterms:W3CDTF">2013-10-02T09:08:00Z</dcterms:created>
  <dcterms:modified xsi:type="dcterms:W3CDTF">2021-03-16T10:53:00Z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