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4E2A2" w14:textId="77777777" w:rsidR="00823452" w:rsidRDefault="00823452">
      <w:pPr>
        <w:widowControl w:val="0"/>
        <w:pBdr>
          <w:top w:val="nil"/>
          <w:left w:val="nil"/>
          <w:bottom w:val="nil"/>
          <w:right w:val="nil"/>
          <w:between w:val="nil"/>
        </w:pBdr>
        <w:spacing w:after="0"/>
        <w:rPr>
          <w:rFonts w:ascii="Arial" w:eastAsia="Arial" w:hAnsi="Arial" w:cs="Arial"/>
          <w:color w:val="000000"/>
        </w:rPr>
      </w:pPr>
    </w:p>
    <w:tbl>
      <w:tblPr>
        <w:tblStyle w:val="a"/>
        <w:tblW w:w="13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3"/>
        <w:gridCol w:w="10051"/>
      </w:tblGrid>
      <w:tr w:rsidR="00823452" w14:paraId="4CB4E2A5" w14:textId="77777777">
        <w:tc>
          <w:tcPr>
            <w:tcW w:w="13994" w:type="dxa"/>
            <w:gridSpan w:val="2"/>
            <w:shd w:val="clear" w:color="auto" w:fill="E5B9B7"/>
          </w:tcPr>
          <w:p w14:paraId="4CB4E2A3" w14:textId="77777777" w:rsidR="00823452" w:rsidRDefault="00823452"/>
          <w:p w14:paraId="4CB4E2A4" w14:textId="77777777" w:rsidR="00823452" w:rsidRDefault="00DF636F">
            <w:pPr>
              <w:rPr>
                <w:b/>
              </w:rPr>
            </w:pPr>
            <w:r>
              <w:rPr>
                <w:noProof/>
                <w:lang w:val="en-US" w:eastAsia="en-US"/>
              </w:rPr>
              <w:drawing>
                <wp:inline distT="0" distB="0" distL="0" distR="0" wp14:anchorId="4CB4E2EF" wp14:editId="4CB4E2F0">
                  <wp:extent cx="981075" cy="981075"/>
                  <wp:effectExtent l="0" t="0" r="0" b="0"/>
                  <wp:docPr id="3" name="image1.png" descr="https://encrypted-tbn2.gstatic.com/images?q=tbn:ANd9GcSpTPaSCYToDInKdH0iDszUzuKmF1Hc1bNwVYGGVx4NAfT_wS8l7Gph3vw"/>
                  <wp:cNvGraphicFramePr/>
                  <a:graphic xmlns:a="http://schemas.openxmlformats.org/drawingml/2006/main">
                    <a:graphicData uri="http://schemas.openxmlformats.org/drawingml/2006/picture">
                      <pic:pic xmlns:pic="http://schemas.openxmlformats.org/drawingml/2006/picture">
                        <pic:nvPicPr>
                          <pic:cNvPr id="0" name="image1.png" descr="https://encrypted-tbn2.gstatic.com/images?q=tbn:ANd9GcSpTPaSCYToDInKdH0iDszUzuKmF1Hc1bNwVYGGVx4NAfT_wS8l7Gph3vw"/>
                          <pic:cNvPicPr preferRelativeResize="0"/>
                        </pic:nvPicPr>
                        <pic:blipFill>
                          <a:blip r:embed="rId10"/>
                          <a:srcRect/>
                          <a:stretch>
                            <a:fillRect/>
                          </a:stretch>
                        </pic:blipFill>
                        <pic:spPr>
                          <a:xfrm>
                            <a:off x="0" y="0"/>
                            <a:ext cx="981075" cy="981075"/>
                          </a:xfrm>
                          <a:prstGeom prst="rect">
                            <a:avLst/>
                          </a:prstGeom>
                          <a:ln/>
                        </pic:spPr>
                      </pic:pic>
                    </a:graphicData>
                  </a:graphic>
                </wp:inline>
              </w:drawing>
            </w:r>
          </w:p>
        </w:tc>
      </w:tr>
      <w:tr w:rsidR="00823452" w14:paraId="4CB4E2A7" w14:textId="77777777">
        <w:tc>
          <w:tcPr>
            <w:tcW w:w="13994" w:type="dxa"/>
            <w:gridSpan w:val="2"/>
            <w:shd w:val="clear" w:color="auto" w:fill="E5B9B7"/>
          </w:tcPr>
          <w:p w14:paraId="4CB4E2A6" w14:textId="77777777" w:rsidR="00823452" w:rsidRDefault="00DF636F">
            <w:pPr>
              <w:jc w:val="center"/>
              <w:rPr>
                <w:b/>
              </w:rPr>
            </w:pPr>
            <w:r>
              <w:rPr>
                <w:b/>
              </w:rPr>
              <w:t xml:space="preserve"> Ects Principes de Mobilité académique étudiante en Catégorie Économique</w:t>
            </w:r>
          </w:p>
        </w:tc>
      </w:tr>
      <w:tr w:rsidR="00823452" w14:paraId="4CB4E2AB" w14:textId="77777777">
        <w:tc>
          <w:tcPr>
            <w:tcW w:w="3943" w:type="dxa"/>
            <w:tcBorders>
              <w:bottom w:val="single" w:sz="4" w:space="0" w:color="000000"/>
            </w:tcBorders>
            <w:shd w:val="clear" w:color="auto" w:fill="C2D69B"/>
          </w:tcPr>
          <w:p w14:paraId="4CB4E2A8" w14:textId="77777777" w:rsidR="00823452" w:rsidRDefault="00DF636F">
            <w:pPr>
              <w:rPr>
                <w:rFonts w:ascii="Andalus" w:eastAsia="Andalus" w:hAnsi="Andalus" w:cs="Andalus"/>
                <w:b/>
              </w:rPr>
            </w:pPr>
            <w:r>
              <w:rPr>
                <w:rFonts w:ascii="Andalus" w:eastAsia="Andalus" w:hAnsi="Andalus" w:cs="Andalus"/>
                <w:b/>
              </w:rPr>
              <w:t>Section Immobilier</w:t>
            </w:r>
          </w:p>
          <w:p w14:paraId="4CB4E2A9" w14:textId="77777777" w:rsidR="00823452" w:rsidRDefault="00DF636F">
            <w:pPr>
              <w:rPr>
                <w:rFonts w:ascii="Andalus" w:eastAsia="Andalus" w:hAnsi="Andalus" w:cs="Andalus"/>
              </w:rPr>
            </w:pPr>
            <w:r>
              <w:rPr>
                <w:rFonts w:ascii="Andalus" w:eastAsia="Andalus" w:hAnsi="Andalus" w:cs="Andalus"/>
              </w:rPr>
              <w:t>Mobilité académique d’étudiant - SMS</w:t>
            </w:r>
          </w:p>
        </w:tc>
        <w:tc>
          <w:tcPr>
            <w:tcW w:w="10051" w:type="dxa"/>
            <w:shd w:val="clear" w:color="auto" w:fill="C2D69B"/>
          </w:tcPr>
          <w:p w14:paraId="4CB4E2AA" w14:textId="77777777" w:rsidR="00823452" w:rsidRDefault="00DF636F">
            <w:pPr>
              <w:jc w:val="center"/>
              <w:rPr>
                <w:b/>
              </w:rPr>
            </w:pPr>
            <w:r>
              <w:rPr>
                <w:b/>
              </w:rPr>
              <w:t>3</w:t>
            </w:r>
            <w:r>
              <w:rPr>
                <w:b/>
                <w:vertAlign w:val="superscript"/>
              </w:rPr>
              <w:t>e</w:t>
            </w:r>
            <w:r>
              <w:rPr>
                <w:b/>
              </w:rPr>
              <w:t xml:space="preserve"> année</w:t>
            </w:r>
          </w:p>
        </w:tc>
      </w:tr>
      <w:tr w:rsidR="00823452" w14:paraId="4CB4E2AF" w14:textId="77777777">
        <w:tc>
          <w:tcPr>
            <w:tcW w:w="3943" w:type="dxa"/>
            <w:shd w:val="clear" w:color="auto" w:fill="EBF1DD"/>
          </w:tcPr>
          <w:p w14:paraId="4CB4E2AC" w14:textId="77777777" w:rsidR="00823452" w:rsidRDefault="00DF636F">
            <w:pPr>
              <w:rPr>
                <w:rFonts w:ascii="Andalus" w:eastAsia="Andalus" w:hAnsi="Andalus" w:cs="Andalus"/>
              </w:rPr>
            </w:pPr>
            <w:r>
              <w:rPr>
                <w:rFonts w:ascii="Andalus" w:eastAsia="Andalus" w:hAnsi="Andalus" w:cs="Andalus"/>
              </w:rPr>
              <w:t>Durée de la mobilité académique</w:t>
            </w:r>
          </w:p>
        </w:tc>
        <w:tc>
          <w:tcPr>
            <w:tcW w:w="10051" w:type="dxa"/>
          </w:tcPr>
          <w:p w14:paraId="4CB4E2AD" w14:textId="77777777" w:rsidR="00823452" w:rsidRDefault="00DF636F">
            <w:pPr>
              <w:jc w:val="center"/>
              <w:rPr>
                <w:rFonts w:ascii="Andalus" w:eastAsia="Andalus" w:hAnsi="Andalus" w:cs="Andalus"/>
                <w:color w:val="FF0000"/>
              </w:rPr>
            </w:pPr>
            <w:r>
              <w:rPr>
                <w:rFonts w:ascii="Andalus" w:eastAsia="Andalus" w:hAnsi="Andalus" w:cs="Andalus"/>
                <w:b/>
              </w:rPr>
              <w:t>1 semestre</w:t>
            </w:r>
            <w:r>
              <w:rPr>
                <w:rFonts w:ascii="Andalus" w:eastAsia="Andalus" w:hAnsi="Andalus" w:cs="Andalus"/>
              </w:rPr>
              <w:t xml:space="preserve"> – </w:t>
            </w:r>
            <w:r>
              <w:rPr>
                <w:rFonts w:ascii="Andalus" w:eastAsia="Andalus" w:hAnsi="Andalus" w:cs="Andalus"/>
                <w:b/>
                <w:color w:val="FF0000"/>
              </w:rPr>
              <w:t>32 ects</w:t>
            </w:r>
            <w:r>
              <w:rPr>
                <w:rFonts w:ascii="Andalus" w:eastAsia="Andalus" w:hAnsi="Andalus" w:cs="Andalus"/>
                <w:color w:val="FF0000"/>
              </w:rPr>
              <w:t xml:space="preserve"> </w:t>
            </w:r>
          </w:p>
          <w:p w14:paraId="4CB4E2AE" w14:textId="77777777" w:rsidR="00823452" w:rsidRDefault="00DF636F" w:rsidP="00794B6A">
            <w:pPr>
              <w:jc w:val="center"/>
              <w:rPr>
                <w:rFonts w:ascii="Andalus" w:eastAsia="Andalus" w:hAnsi="Andalus" w:cs="Andalus"/>
                <w:b/>
                <w:color w:val="FF0000"/>
              </w:rPr>
            </w:pPr>
            <w:r>
              <w:rPr>
                <w:rFonts w:ascii="Andalus" w:eastAsia="Andalus" w:hAnsi="Andalus" w:cs="Andalus"/>
                <w:color w:val="FF0000"/>
              </w:rPr>
              <w:t xml:space="preserve">ou </w:t>
            </w:r>
            <w:r>
              <w:rPr>
                <w:rFonts w:ascii="Andalus" w:eastAsia="Andalus" w:hAnsi="Andalus" w:cs="Andalus"/>
                <w:b/>
                <w:color w:val="FF0000"/>
              </w:rPr>
              <w:t xml:space="preserve">une année complète - double diplôme à l’ESPI </w:t>
            </w:r>
          </w:p>
        </w:tc>
      </w:tr>
      <w:tr w:rsidR="00823452" w14:paraId="4CB4E2B5" w14:textId="77777777">
        <w:tc>
          <w:tcPr>
            <w:tcW w:w="3943" w:type="dxa"/>
            <w:shd w:val="clear" w:color="auto" w:fill="EBF1DD"/>
          </w:tcPr>
          <w:p w14:paraId="4CB4E2B0" w14:textId="77777777" w:rsidR="00823452" w:rsidRDefault="00DF636F">
            <w:pPr>
              <w:rPr>
                <w:rFonts w:ascii="Andalus" w:eastAsia="Andalus" w:hAnsi="Andalus" w:cs="Andalus"/>
              </w:rPr>
            </w:pPr>
            <w:r>
              <w:rPr>
                <w:rFonts w:ascii="Andalus" w:eastAsia="Andalus" w:hAnsi="Andalus" w:cs="Andalus"/>
              </w:rPr>
              <w:t>Sélection des étudiants candidats</w:t>
            </w:r>
          </w:p>
          <w:p w14:paraId="4CB4E2B1" w14:textId="77777777" w:rsidR="00823452" w:rsidRDefault="00823452">
            <w:pPr>
              <w:rPr>
                <w:rFonts w:ascii="Andalus" w:eastAsia="Andalus" w:hAnsi="Andalus" w:cs="Andalus"/>
              </w:rPr>
            </w:pPr>
          </w:p>
          <w:p w14:paraId="4CB4E2B2" w14:textId="77777777" w:rsidR="00823452" w:rsidRDefault="00DF636F">
            <w:pPr>
              <w:rPr>
                <w:rFonts w:ascii="Andalus" w:eastAsia="Andalus" w:hAnsi="Andalus" w:cs="Andalus"/>
              </w:rPr>
            </w:pPr>
            <w:r>
              <w:rPr>
                <w:rFonts w:ascii="Andalus" w:eastAsia="Andalus" w:hAnsi="Andalus" w:cs="Andalus"/>
              </w:rPr>
              <w:t>En cas de surnombre pour une destination </w:t>
            </w:r>
          </w:p>
        </w:tc>
        <w:tc>
          <w:tcPr>
            <w:tcW w:w="10051" w:type="dxa"/>
          </w:tcPr>
          <w:p w14:paraId="4CB4E2B3" w14:textId="77777777" w:rsidR="00823452" w:rsidRDefault="00DF636F">
            <w:pPr>
              <w:rPr>
                <w:rFonts w:ascii="Times New Roman" w:eastAsia="Times New Roman" w:hAnsi="Times New Roman" w:cs="Times New Roman"/>
                <w:b/>
                <w:color w:val="000000"/>
                <w:sz w:val="24"/>
                <w:szCs w:val="24"/>
              </w:rPr>
            </w:pPr>
            <w:r>
              <w:rPr>
                <w:b/>
                <w:color w:val="000000"/>
              </w:rPr>
              <w:t>L</w:t>
            </w:r>
            <w:r>
              <w:rPr>
                <w:rFonts w:ascii="Bariol Regular" w:eastAsia="Bariol Regular" w:hAnsi="Bariol Regular" w:cs="Bariol Regular"/>
                <w:b/>
                <w:color w:val="000000"/>
              </w:rPr>
              <w:t>a mobilité sera conditionnée par la validation de tous les crédits du programme annuel de l’étudiant de l’année académique qui précède sauf situation particulière dûment circonstanciée et appréciée par le Collège de direction.</w:t>
            </w:r>
          </w:p>
          <w:p w14:paraId="4CB4E2B4" w14:textId="77777777" w:rsidR="00823452" w:rsidRDefault="00DF636F">
            <w:pPr>
              <w:rPr>
                <w:rFonts w:ascii="Andalus" w:eastAsia="Andalus" w:hAnsi="Andalus" w:cs="Andalus"/>
                <w:b/>
              </w:rPr>
            </w:pPr>
            <w:r>
              <w:rPr>
                <w:rFonts w:ascii="Andalus" w:eastAsia="Andalus" w:hAnsi="Andalus" w:cs="Andalus"/>
                <w:b/>
              </w:rPr>
              <w:t>Les notes aux examens de janvier sont le critère de sélection en cas de surnombre pour une destination.</w:t>
            </w:r>
          </w:p>
        </w:tc>
      </w:tr>
      <w:tr w:rsidR="00823452" w14:paraId="4CB4E2C1" w14:textId="77777777">
        <w:tc>
          <w:tcPr>
            <w:tcW w:w="3943" w:type="dxa"/>
            <w:shd w:val="clear" w:color="auto" w:fill="EBF1DD"/>
          </w:tcPr>
          <w:p w14:paraId="4CB4E2B6" w14:textId="77777777" w:rsidR="00823452" w:rsidRDefault="00DF636F">
            <w:pPr>
              <w:rPr>
                <w:rFonts w:ascii="Andalus" w:eastAsia="Andalus" w:hAnsi="Andalus" w:cs="Andalus"/>
              </w:rPr>
            </w:pPr>
            <w:r>
              <w:rPr>
                <w:rFonts w:ascii="Andalus" w:eastAsia="Andalus" w:hAnsi="Andalus" w:cs="Andalus"/>
              </w:rPr>
              <w:t>Réunion briefing administratif et pédagogique et assignation des destinations</w:t>
            </w:r>
          </w:p>
          <w:p w14:paraId="4CB4E2B7" w14:textId="77777777" w:rsidR="00823452" w:rsidRDefault="00823452">
            <w:pPr>
              <w:rPr>
                <w:rFonts w:ascii="Andalus" w:eastAsia="Andalus" w:hAnsi="Andalus" w:cs="Andalus"/>
              </w:rPr>
            </w:pPr>
          </w:p>
          <w:p w14:paraId="4CB4E2B8" w14:textId="77777777" w:rsidR="00823452" w:rsidRDefault="00823452">
            <w:pPr>
              <w:rPr>
                <w:rFonts w:ascii="Andalus" w:eastAsia="Andalus" w:hAnsi="Andalus" w:cs="Andalus"/>
              </w:rPr>
            </w:pPr>
          </w:p>
          <w:p w14:paraId="4CB4E2B9" w14:textId="77777777" w:rsidR="00823452" w:rsidRDefault="00DF636F">
            <w:pPr>
              <w:rPr>
                <w:rFonts w:ascii="Andalus" w:eastAsia="Andalus" w:hAnsi="Andalus" w:cs="Andalus"/>
              </w:rPr>
            </w:pPr>
            <w:r>
              <w:rPr>
                <w:rFonts w:ascii="Andalus" w:eastAsia="Andalus" w:hAnsi="Andalus" w:cs="Andalus"/>
              </w:rPr>
              <w:lastRenderedPageBreak/>
              <w:t>Confection du Learning Agreement</w:t>
            </w:r>
          </w:p>
          <w:p w14:paraId="4CB4E2BA" w14:textId="77777777" w:rsidR="00823452" w:rsidRDefault="00823452">
            <w:pPr>
              <w:rPr>
                <w:rFonts w:ascii="Andalus" w:eastAsia="Andalus" w:hAnsi="Andalus" w:cs="Andalus"/>
              </w:rPr>
            </w:pPr>
          </w:p>
          <w:p w14:paraId="4CB4E2BB" w14:textId="77777777" w:rsidR="00823452" w:rsidRDefault="00823452">
            <w:pPr>
              <w:rPr>
                <w:rFonts w:ascii="Andalus" w:eastAsia="Andalus" w:hAnsi="Andalus" w:cs="Andalus"/>
              </w:rPr>
            </w:pPr>
          </w:p>
          <w:p w14:paraId="4CB4E2BC" w14:textId="77777777" w:rsidR="00823452" w:rsidRDefault="00823452">
            <w:pPr>
              <w:rPr>
                <w:rFonts w:ascii="Andalus" w:eastAsia="Andalus" w:hAnsi="Andalus" w:cs="Andalus"/>
              </w:rPr>
            </w:pPr>
          </w:p>
          <w:p w14:paraId="4CB4E2BD" w14:textId="77777777" w:rsidR="00823452" w:rsidRDefault="00DF636F">
            <w:pPr>
              <w:rPr>
                <w:rFonts w:ascii="Andalus" w:eastAsia="Andalus" w:hAnsi="Andalus" w:cs="Andalus"/>
              </w:rPr>
            </w:pPr>
            <w:r>
              <w:rPr>
                <w:rFonts w:ascii="Andalus" w:eastAsia="Andalus" w:hAnsi="Andalus" w:cs="Andalus"/>
              </w:rPr>
              <w:t>Réunion signature des Learning Agreement - Mars</w:t>
            </w:r>
          </w:p>
        </w:tc>
        <w:tc>
          <w:tcPr>
            <w:tcW w:w="10051" w:type="dxa"/>
          </w:tcPr>
          <w:p w14:paraId="4CB4E2BE" w14:textId="77777777" w:rsidR="00823452" w:rsidRDefault="00DF636F">
            <w:pPr>
              <w:rPr>
                <w:rFonts w:ascii="Andalus" w:eastAsia="Andalus" w:hAnsi="Andalus" w:cs="Andalus"/>
                <w:b/>
                <w:sz w:val="24"/>
                <w:szCs w:val="24"/>
              </w:rPr>
            </w:pPr>
            <w:r>
              <w:rPr>
                <w:rFonts w:ascii="Andalus" w:eastAsia="Andalus" w:hAnsi="Andalus" w:cs="Andalus"/>
                <w:sz w:val="24"/>
                <w:szCs w:val="24"/>
              </w:rPr>
              <w:lastRenderedPageBreak/>
              <w:t xml:space="preserve">Première quinzaine de mars : Dominique Pairoux (en charge de la gestion administrative et financière des programmes de mobilité) et Anne-Marie Martin Lanero (Coordinatrice Départementale Erasmus pour le Domaine Economique, en charge du suivi pédagogique des programmes de mobilité) réunissent tous les candidats à une mobilité académique pour un briefing général à la fois administratif et pédagogique. Une charte de respect des consignes exposées est signée par chaque </w:t>
            </w:r>
            <w:r>
              <w:rPr>
                <w:rFonts w:ascii="Andalus" w:eastAsia="Andalus" w:hAnsi="Andalus" w:cs="Andalus"/>
                <w:sz w:val="24"/>
                <w:szCs w:val="24"/>
              </w:rPr>
              <w:lastRenderedPageBreak/>
              <w:t xml:space="preserve">candidat ; </w:t>
            </w:r>
            <w:r>
              <w:rPr>
                <w:rFonts w:ascii="Andalus" w:eastAsia="Andalus" w:hAnsi="Andalus" w:cs="Andalus"/>
                <w:b/>
                <w:sz w:val="24"/>
                <w:szCs w:val="24"/>
              </w:rPr>
              <w:t>il s’engage à respecter toutes les consignes sous peine de se voir écarté du projet de mobilité en cours.</w:t>
            </w:r>
          </w:p>
          <w:p w14:paraId="4CB4E2BF" w14:textId="77777777" w:rsidR="00823452" w:rsidRDefault="00DF636F">
            <w:pPr>
              <w:rPr>
                <w:rFonts w:ascii="Andalus" w:eastAsia="Andalus" w:hAnsi="Andalus" w:cs="Andalus"/>
                <w:sz w:val="24"/>
                <w:szCs w:val="24"/>
              </w:rPr>
            </w:pPr>
            <w:r>
              <w:rPr>
                <w:rFonts w:ascii="Andalus" w:eastAsia="Andalus" w:hAnsi="Andalus" w:cs="Andalus"/>
                <w:sz w:val="24"/>
                <w:szCs w:val="24"/>
              </w:rPr>
              <w:t>Anne-Marie Martin Lanero envoie par courriel la grille de convergence de l’Université assignée. A charge de l’étudiant de vérifier sur le site du partenaire l’organisation des cours retenus dans les convergences et de rédiger son learning agreement en apposant en regard de chaque cours le code correspondant de chaque cours de l’Université partenaire. Pour toute question pédagogique, l’étudiant prend contact par courriel avec Anne-Marie Martin Lanero.</w:t>
            </w:r>
          </w:p>
          <w:p w14:paraId="4CB4E2C0" w14:textId="77777777" w:rsidR="00823452" w:rsidRDefault="00DF636F">
            <w:pPr>
              <w:rPr>
                <w:rFonts w:ascii="Andalus" w:eastAsia="Andalus" w:hAnsi="Andalus" w:cs="Andalus"/>
              </w:rPr>
            </w:pPr>
            <w:r>
              <w:rPr>
                <w:rFonts w:ascii="Andalus" w:eastAsia="Andalus" w:hAnsi="Andalus" w:cs="Andalus"/>
                <w:sz w:val="24"/>
                <w:szCs w:val="24"/>
              </w:rPr>
              <w:t>Une semaine avant le Blocus, une seconde réunion permet à chaque candidat de faire approuver son Learning agreement par Anne-Marie Martin Lanero. Le Learning Agreement est alors encodé par l’étudiant (partie A de la Mobilité) sur myhech</w:t>
            </w:r>
            <w:r w:rsidR="00794B6A">
              <w:rPr>
                <w:rFonts w:ascii="Andalus" w:eastAsia="Andalus" w:hAnsi="Andalus" w:cs="Andalus"/>
                <w:sz w:val="24"/>
                <w:szCs w:val="24"/>
              </w:rPr>
              <w:t xml:space="preserve"> (aucun cours n’est « isolé »)</w:t>
            </w:r>
            <w:r>
              <w:rPr>
                <w:rFonts w:ascii="Andalus" w:eastAsia="Andalus" w:hAnsi="Andalus" w:cs="Andalus"/>
                <w:sz w:val="24"/>
                <w:szCs w:val="24"/>
              </w:rPr>
              <w:t xml:space="preserve">, est validé par l’étudiant, ensuite par Anne-Marie Martin Lanero et le Coordinateur externe de l’Université étrangère. </w:t>
            </w:r>
            <w:r>
              <w:rPr>
                <w:rFonts w:ascii="Andalus" w:eastAsia="Andalus" w:hAnsi="Andalus" w:cs="Andalus"/>
                <w:b/>
                <w:sz w:val="24"/>
                <w:szCs w:val="24"/>
              </w:rPr>
              <w:t>Le LA doit être validé par les trois parties au plus tard pour le 15 juin de l’année en cours.</w:t>
            </w:r>
          </w:p>
        </w:tc>
      </w:tr>
      <w:tr w:rsidR="00562E78" w14:paraId="4CB4E2C7" w14:textId="77777777" w:rsidTr="00362B88">
        <w:tc>
          <w:tcPr>
            <w:tcW w:w="3943" w:type="dxa"/>
            <w:shd w:val="clear" w:color="auto" w:fill="92D050"/>
          </w:tcPr>
          <w:p w14:paraId="4CB4E2C2" w14:textId="77777777" w:rsidR="00562E78" w:rsidRPr="00362B88" w:rsidRDefault="00562E78">
            <w:pPr>
              <w:rPr>
                <w:rFonts w:ascii="Andalus" w:eastAsia="Andalus" w:hAnsi="Andalus" w:cs="Andalus"/>
                <w:color w:val="000000" w:themeColor="text1"/>
              </w:rPr>
            </w:pPr>
            <w:r w:rsidRPr="00362B88">
              <w:rPr>
                <w:rFonts w:ascii="Andalus" w:eastAsia="Andalus" w:hAnsi="Andalus" w:cs="Andalus"/>
                <w:color w:val="000000" w:themeColor="text1"/>
              </w:rPr>
              <w:lastRenderedPageBreak/>
              <w:t>Confection du Learning Agreement dans le cadre du double diplôme Groupe ESPI</w:t>
            </w:r>
          </w:p>
        </w:tc>
        <w:tc>
          <w:tcPr>
            <w:tcW w:w="10051" w:type="dxa"/>
            <w:shd w:val="clear" w:color="auto" w:fill="92D050"/>
          </w:tcPr>
          <w:p w14:paraId="4CB4E2C3" w14:textId="77777777" w:rsidR="00562E78" w:rsidRPr="00362B88" w:rsidRDefault="00562E78">
            <w:pPr>
              <w:rPr>
                <w:rFonts w:ascii="Andalus" w:eastAsia="Andalus" w:hAnsi="Andalus" w:cs="Andalus"/>
                <w:color w:val="000000" w:themeColor="text1"/>
              </w:rPr>
            </w:pPr>
            <w:r w:rsidRPr="00362B88">
              <w:rPr>
                <w:rFonts w:ascii="Andalus" w:eastAsia="Andalus" w:hAnsi="Andalus" w:cs="Andalus"/>
                <w:color w:val="000000" w:themeColor="text1"/>
              </w:rPr>
              <w:t>L’étudiant encode sur myhech, avant la période de Blocus de l’année qui précède sa mobilité, l’intitulé de chaque module prévu en 3</w:t>
            </w:r>
            <w:r w:rsidRPr="00362B88">
              <w:rPr>
                <w:rFonts w:ascii="Andalus" w:eastAsia="Andalus" w:hAnsi="Andalus" w:cs="Andalus"/>
                <w:color w:val="000000" w:themeColor="text1"/>
                <w:vertAlign w:val="superscript"/>
              </w:rPr>
              <w:t>e</w:t>
            </w:r>
            <w:r w:rsidRPr="00362B88">
              <w:rPr>
                <w:rFonts w:ascii="Andalus" w:eastAsia="Andalus" w:hAnsi="Andalus" w:cs="Andalus"/>
                <w:color w:val="000000" w:themeColor="text1"/>
              </w:rPr>
              <w:t xml:space="preserve"> année ESPI, BAC GESAI.</w:t>
            </w:r>
          </w:p>
          <w:p w14:paraId="4CB4E2C4" w14:textId="13AB5EDF" w:rsidR="00562E78" w:rsidRPr="00362B88" w:rsidRDefault="00562E78">
            <w:pPr>
              <w:rPr>
                <w:rFonts w:ascii="Andalus" w:eastAsia="Andalus" w:hAnsi="Andalus" w:cs="Andalus"/>
                <w:color w:val="000000" w:themeColor="text1"/>
              </w:rPr>
            </w:pPr>
            <w:r w:rsidRPr="00362B88">
              <w:rPr>
                <w:rFonts w:ascii="Andalus" w:eastAsia="Andalus" w:hAnsi="Andalus" w:cs="Andalus"/>
                <w:color w:val="000000" w:themeColor="text1"/>
              </w:rPr>
              <w:t xml:space="preserve">Les stages, dans le cadre du double diplôme, sont d’une durée de 5 mois </w:t>
            </w:r>
            <w:r w:rsidR="00362B88">
              <w:rPr>
                <w:rFonts w:ascii="Andalus" w:eastAsia="Andalus" w:hAnsi="Andalus" w:cs="Andalus"/>
                <w:color w:val="000000" w:themeColor="text1"/>
              </w:rPr>
              <w:t>(</w:t>
            </w:r>
            <w:r w:rsidRPr="00362B88">
              <w:rPr>
                <w:rFonts w:ascii="Andalus" w:eastAsia="Andalus" w:hAnsi="Andalus" w:cs="Andalus"/>
                <w:color w:val="000000" w:themeColor="text1"/>
              </w:rPr>
              <w:t>et demi</w:t>
            </w:r>
            <w:r w:rsidR="00362B88">
              <w:rPr>
                <w:rFonts w:ascii="Andalus" w:eastAsia="Andalus" w:hAnsi="Andalus" w:cs="Andalus"/>
                <w:color w:val="000000" w:themeColor="text1"/>
              </w:rPr>
              <w:t>)</w:t>
            </w:r>
            <w:r w:rsidRPr="00362B88">
              <w:rPr>
                <w:rFonts w:ascii="Andalus" w:eastAsia="Andalus" w:hAnsi="Andalus" w:cs="Andalus"/>
                <w:color w:val="000000" w:themeColor="text1"/>
              </w:rPr>
              <w:t>. Une partie en France, l’autre en Belgique.</w:t>
            </w:r>
          </w:p>
          <w:p w14:paraId="4CB4E2C5" w14:textId="77777777" w:rsidR="00562E78" w:rsidRPr="00362B88" w:rsidRDefault="00562E78">
            <w:pPr>
              <w:rPr>
                <w:rFonts w:ascii="Andalus" w:eastAsia="Andalus" w:hAnsi="Andalus" w:cs="Andalus"/>
                <w:color w:val="000000" w:themeColor="text1"/>
              </w:rPr>
            </w:pPr>
            <w:r w:rsidRPr="00362B88">
              <w:rPr>
                <w:rFonts w:ascii="Andalus" w:eastAsia="Andalus" w:hAnsi="Andalus" w:cs="Andalus"/>
                <w:color w:val="000000" w:themeColor="text1"/>
              </w:rPr>
              <w:t>Un défraiement est prévu pour la période de stage en France par la société du stage de l’étudiant.</w:t>
            </w:r>
          </w:p>
          <w:p w14:paraId="7F2F6E10" w14:textId="77777777" w:rsidR="00562E78" w:rsidRDefault="00562E78">
            <w:pPr>
              <w:rPr>
                <w:rFonts w:ascii="Andalus" w:eastAsia="Andalus" w:hAnsi="Andalus" w:cs="Andalus"/>
                <w:color w:val="000000" w:themeColor="text1"/>
              </w:rPr>
            </w:pPr>
            <w:r w:rsidRPr="00362B88">
              <w:rPr>
                <w:rFonts w:ascii="Andalus" w:eastAsia="Andalus" w:hAnsi="Andalus" w:cs="Andalus"/>
                <w:color w:val="000000" w:themeColor="text1"/>
              </w:rPr>
              <w:t>Le jury de délibération du Groupe ESPI est celui qui statue en fin de 3</w:t>
            </w:r>
            <w:r w:rsidRPr="00362B88">
              <w:rPr>
                <w:rFonts w:ascii="Andalus" w:eastAsia="Andalus" w:hAnsi="Andalus" w:cs="Andalus"/>
                <w:color w:val="000000" w:themeColor="text1"/>
                <w:vertAlign w:val="superscript"/>
              </w:rPr>
              <w:t>e</w:t>
            </w:r>
            <w:r w:rsidRPr="00362B88">
              <w:rPr>
                <w:rFonts w:ascii="Andalus" w:eastAsia="Andalus" w:hAnsi="Andalus" w:cs="Andalus"/>
                <w:color w:val="000000" w:themeColor="text1"/>
              </w:rPr>
              <w:t xml:space="preserve"> année sur la réussite des 60 ects de l’année diplômant</w:t>
            </w:r>
            <w:r w:rsidR="00362B88">
              <w:rPr>
                <w:rFonts w:ascii="Andalus" w:eastAsia="Andalus" w:hAnsi="Andalus" w:cs="Andalus"/>
                <w:color w:val="000000" w:themeColor="text1"/>
              </w:rPr>
              <w:t>e et qui en fait part à la HECh pour l’octroi de la double diplômation.</w:t>
            </w:r>
          </w:p>
          <w:p w14:paraId="4CB4E2C6" w14:textId="7992FB09" w:rsidR="00362B88" w:rsidRPr="00362B88" w:rsidRDefault="00362B88">
            <w:pPr>
              <w:rPr>
                <w:rFonts w:ascii="Andalus" w:eastAsia="Andalus" w:hAnsi="Andalus" w:cs="Andalus"/>
                <w:color w:val="000000" w:themeColor="text1"/>
              </w:rPr>
            </w:pPr>
            <w:r>
              <w:rPr>
                <w:rFonts w:ascii="Andalus" w:eastAsia="Andalus" w:hAnsi="Andalus" w:cs="Andalus"/>
                <w:color w:val="000000" w:themeColor="text1"/>
              </w:rPr>
              <w:t>Sur le site de l’ESPI-Paris, les cours peuvent être suivis en anglais.</w:t>
            </w:r>
          </w:p>
        </w:tc>
      </w:tr>
      <w:tr w:rsidR="00823452" w14:paraId="4CB4E2CB" w14:textId="77777777">
        <w:tc>
          <w:tcPr>
            <w:tcW w:w="3943" w:type="dxa"/>
            <w:shd w:val="clear" w:color="auto" w:fill="EBF1DD"/>
          </w:tcPr>
          <w:p w14:paraId="4CB4E2C8" w14:textId="77777777" w:rsidR="00823452" w:rsidRDefault="00DF636F">
            <w:pPr>
              <w:rPr>
                <w:rFonts w:ascii="Andalus" w:eastAsia="Andalus" w:hAnsi="Andalus" w:cs="Andalus"/>
              </w:rPr>
            </w:pPr>
            <w:r>
              <w:rPr>
                <w:rFonts w:ascii="Andalus" w:eastAsia="Andalus" w:hAnsi="Andalus" w:cs="Andalus"/>
              </w:rPr>
              <w:t>Préparation linguistique de l’étudiant</w:t>
            </w:r>
          </w:p>
        </w:tc>
        <w:tc>
          <w:tcPr>
            <w:tcW w:w="10051" w:type="dxa"/>
          </w:tcPr>
          <w:p w14:paraId="4CB4E2C9" w14:textId="77777777" w:rsidR="00823452" w:rsidRDefault="00DF636F">
            <w:pPr>
              <w:rPr>
                <w:rFonts w:ascii="Andalus" w:eastAsia="Andalus" w:hAnsi="Andalus" w:cs="Andalus"/>
              </w:rPr>
            </w:pPr>
            <w:r>
              <w:rPr>
                <w:rFonts w:ascii="Andalus" w:eastAsia="Andalus" w:hAnsi="Andalus" w:cs="Andalus"/>
              </w:rPr>
              <w:t>Une année avant le départ, la formation linguistique de l’étudiant peut faire l’objet d’un remboursement à concurrence de 100 € par notre BRI (dans le cas où l’étudiant opte pour une destination dont il ne maîtrise pas la langue, notamment lorsque le cours de langue ne figure pas dans son programme HECH).</w:t>
            </w:r>
          </w:p>
          <w:p w14:paraId="4CB4E2CA" w14:textId="77777777" w:rsidR="00823452" w:rsidRDefault="00DF636F">
            <w:pPr>
              <w:rPr>
                <w:rFonts w:ascii="Andalus" w:eastAsia="Andalus" w:hAnsi="Andalus" w:cs="Andalus"/>
              </w:rPr>
            </w:pPr>
            <w:r>
              <w:rPr>
                <w:rFonts w:ascii="Andalus" w:eastAsia="Andalus" w:hAnsi="Andalus" w:cs="Andalus"/>
              </w:rPr>
              <w:lastRenderedPageBreak/>
              <w:t>Un test de langue en ligne (OLS, Online Linguistic Support) doit obligatoirement être passé fin juin au plus tard pour la langue d’enseignement de l’université choisie. Le BRI octroie ensuite une licence OLS qui permet à l’étudiant de poursuivre son apprentissage. Le test en ligne sera enfin présenté au retour de mobilité.</w:t>
            </w:r>
          </w:p>
        </w:tc>
      </w:tr>
      <w:tr w:rsidR="00823452" w14:paraId="4CB4E2D6" w14:textId="77777777">
        <w:tc>
          <w:tcPr>
            <w:tcW w:w="3943" w:type="dxa"/>
            <w:shd w:val="clear" w:color="auto" w:fill="EBF1DD"/>
          </w:tcPr>
          <w:p w14:paraId="4CB4E2CC" w14:textId="77777777" w:rsidR="00823452" w:rsidRDefault="00DF636F">
            <w:pPr>
              <w:rPr>
                <w:rFonts w:ascii="Andalus" w:eastAsia="Andalus" w:hAnsi="Andalus" w:cs="Andalus"/>
              </w:rPr>
            </w:pPr>
            <w:r>
              <w:rPr>
                <w:rFonts w:ascii="Andalus" w:eastAsia="Andalus" w:hAnsi="Andalus" w:cs="Andalus"/>
              </w:rPr>
              <w:lastRenderedPageBreak/>
              <w:t>Principes de choix de cours : une année en Mobilité académique est considérée comme globalement équivalente à une année HECH</w:t>
            </w:r>
          </w:p>
        </w:tc>
        <w:tc>
          <w:tcPr>
            <w:tcW w:w="10051" w:type="dxa"/>
          </w:tcPr>
          <w:p w14:paraId="4CB4E2CD" w14:textId="77777777" w:rsidR="00823452" w:rsidRDefault="00DF636F">
            <w:pPr>
              <w:rPr>
                <w:rFonts w:ascii="Andalus" w:eastAsia="Andalus" w:hAnsi="Andalus" w:cs="Andalus"/>
              </w:rPr>
            </w:pPr>
            <w:r>
              <w:rPr>
                <w:rFonts w:ascii="Andalus" w:eastAsia="Andalus" w:hAnsi="Andalus" w:cs="Andalus"/>
              </w:rPr>
              <w:t>Méthodologie appliquée par Anne-Marie MARTIN LANERO pour la réalisation des grilles de convergences entre les programmes des Universités d’accueil et la HECH :</w:t>
            </w:r>
          </w:p>
          <w:p w14:paraId="4CB4E2CE" w14:textId="77777777" w:rsidR="00823452" w:rsidRDefault="00823452">
            <w:pPr>
              <w:pBdr>
                <w:top w:val="nil"/>
                <w:left w:val="nil"/>
                <w:bottom w:val="nil"/>
                <w:right w:val="nil"/>
                <w:between w:val="nil"/>
              </w:pBdr>
              <w:spacing w:after="0" w:line="240" w:lineRule="auto"/>
              <w:ind w:left="720"/>
              <w:rPr>
                <w:rFonts w:ascii="Andalus" w:eastAsia="Andalus" w:hAnsi="Andalus" w:cs="Andalus"/>
                <w:color w:val="000000"/>
              </w:rPr>
            </w:pPr>
          </w:p>
          <w:p w14:paraId="4CB4E2CF" w14:textId="77777777" w:rsidR="00823452" w:rsidRDefault="00DF636F">
            <w:pPr>
              <w:numPr>
                <w:ilvl w:val="0"/>
                <w:numId w:val="1"/>
              </w:numPr>
              <w:pBdr>
                <w:top w:val="nil"/>
                <w:left w:val="nil"/>
                <w:bottom w:val="nil"/>
                <w:right w:val="nil"/>
                <w:between w:val="nil"/>
              </w:pBdr>
              <w:spacing w:after="0" w:line="240" w:lineRule="auto"/>
              <w:rPr>
                <w:color w:val="000000"/>
              </w:rPr>
            </w:pPr>
            <w:r>
              <w:rPr>
                <w:rFonts w:ascii="Andalus" w:eastAsia="Andalus" w:hAnsi="Andalus" w:cs="Andalus"/>
                <w:color w:val="000000"/>
              </w:rPr>
              <w:t>Comparer les intitulés HECH-Partenaire et choisir les cours les plus apparentés à ceux de l’Institution d’origine.</w:t>
            </w:r>
          </w:p>
          <w:p w14:paraId="4CB4E2D0" w14:textId="77777777" w:rsidR="00823452" w:rsidRDefault="00DF636F">
            <w:pPr>
              <w:numPr>
                <w:ilvl w:val="0"/>
                <w:numId w:val="1"/>
              </w:numPr>
              <w:pBdr>
                <w:top w:val="nil"/>
                <w:left w:val="nil"/>
                <w:bottom w:val="nil"/>
                <w:right w:val="nil"/>
                <w:between w:val="nil"/>
              </w:pBdr>
              <w:spacing w:after="0" w:line="240" w:lineRule="auto"/>
              <w:rPr>
                <w:color w:val="000000"/>
              </w:rPr>
            </w:pPr>
            <w:r>
              <w:rPr>
                <w:rFonts w:ascii="Andalus" w:eastAsia="Andalus" w:hAnsi="Andalus" w:cs="Andalus"/>
                <w:color w:val="000000"/>
              </w:rPr>
              <w:t>Panacher le moins possible sur divers niveaux du cursus étranger pour éviter l’écueil d’incompatibilités d’horaires.</w:t>
            </w:r>
          </w:p>
          <w:p w14:paraId="4CB4E2D1" w14:textId="77777777" w:rsidR="00823452" w:rsidRDefault="00DF636F">
            <w:pPr>
              <w:numPr>
                <w:ilvl w:val="0"/>
                <w:numId w:val="1"/>
              </w:numPr>
              <w:pBdr>
                <w:top w:val="nil"/>
                <w:left w:val="nil"/>
                <w:bottom w:val="nil"/>
                <w:right w:val="nil"/>
                <w:between w:val="nil"/>
              </w:pBdr>
              <w:spacing w:after="0" w:line="240" w:lineRule="auto"/>
              <w:rPr>
                <w:color w:val="000000"/>
              </w:rPr>
            </w:pPr>
            <w:r>
              <w:rPr>
                <w:rFonts w:ascii="Andalus" w:eastAsia="Andalus" w:hAnsi="Andalus" w:cs="Andalus"/>
                <w:color w:val="000000"/>
              </w:rPr>
              <w:t>Respecter le choix de langues étrangères au programme HECH.</w:t>
            </w:r>
          </w:p>
          <w:p w14:paraId="4CB4E2D2" w14:textId="77777777" w:rsidR="00823452" w:rsidRDefault="00DF636F">
            <w:pPr>
              <w:numPr>
                <w:ilvl w:val="0"/>
                <w:numId w:val="1"/>
              </w:numPr>
              <w:pBdr>
                <w:top w:val="nil"/>
                <w:left w:val="nil"/>
                <w:bottom w:val="nil"/>
                <w:right w:val="nil"/>
                <w:between w:val="nil"/>
              </w:pBdr>
              <w:spacing w:after="0" w:line="240" w:lineRule="auto"/>
              <w:rPr>
                <w:color w:val="000000"/>
              </w:rPr>
            </w:pPr>
            <w:r>
              <w:rPr>
                <w:rFonts w:ascii="Andalus" w:eastAsia="Andalus" w:hAnsi="Andalus" w:cs="Andalus"/>
                <w:color w:val="000000"/>
              </w:rPr>
              <w:t>Inclure obligatoirement un cours de la langue du pays d’accueil (si suivi dans une Institution connexe à l’Université, possibilité de remboursement des frais de cours par notre BRI à concurrence de 100 €, si cette aide n’a pas été sollicitée antérieurement pour une préparation linguistique à l’échange).</w:t>
            </w:r>
          </w:p>
          <w:p w14:paraId="4CB4E2D3" w14:textId="77777777" w:rsidR="00823452" w:rsidRDefault="00DF636F">
            <w:pPr>
              <w:numPr>
                <w:ilvl w:val="0"/>
                <w:numId w:val="1"/>
              </w:numPr>
              <w:pBdr>
                <w:top w:val="nil"/>
                <w:left w:val="nil"/>
                <w:bottom w:val="nil"/>
                <w:right w:val="nil"/>
                <w:between w:val="nil"/>
              </w:pBdr>
              <w:spacing w:after="0" w:line="240" w:lineRule="auto"/>
              <w:rPr>
                <w:color w:val="000000"/>
              </w:rPr>
            </w:pPr>
            <w:r>
              <w:rPr>
                <w:rFonts w:ascii="Andalus" w:eastAsia="Andalus" w:hAnsi="Andalus" w:cs="Andalus"/>
                <w:color w:val="000000"/>
              </w:rPr>
              <w:t>Compte tenu de la disparité des montants des crédits ECTS entre la HECH et les partenaires, veiller à équilibrer le programme d’études suivant ces axes principaux (linguistique, économique, spécialité, …).</w:t>
            </w:r>
          </w:p>
          <w:p w14:paraId="4CB4E2D4" w14:textId="77777777" w:rsidR="00823452" w:rsidRDefault="00DF636F">
            <w:pPr>
              <w:numPr>
                <w:ilvl w:val="0"/>
                <w:numId w:val="1"/>
              </w:numPr>
              <w:pBdr>
                <w:top w:val="nil"/>
                <w:left w:val="nil"/>
                <w:bottom w:val="nil"/>
                <w:right w:val="nil"/>
                <w:between w:val="nil"/>
              </w:pBdr>
              <w:spacing w:after="0" w:line="240" w:lineRule="auto"/>
              <w:rPr>
                <w:color w:val="000000"/>
              </w:rPr>
            </w:pPr>
            <w:r>
              <w:rPr>
                <w:rFonts w:ascii="Andalus" w:eastAsia="Andalus" w:hAnsi="Andalus" w:cs="Andalus"/>
                <w:color w:val="000000"/>
              </w:rPr>
              <w:t>Eviter les cours de droit hors européen/international et de comptabilité (disciplines au contenu marqué nationalement).</w:t>
            </w:r>
          </w:p>
          <w:p w14:paraId="4CB4E2D5" w14:textId="77777777" w:rsidR="00823452" w:rsidRDefault="00823452">
            <w:pPr>
              <w:pBdr>
                <w:top w:val="nil"/>
                <w:left w:val="nil"/>
                <w:bottom w:val="nil"/>
                <w:right w:val="nil"/>
                <w:between w:val="nil"/>
              </w:pBdr>
              <w:spacing w:after="0" w:line="240" w:lineRule="auto"/>
              <w:ind w:left="720"/>
              <w:rPr>
                <w:rFonts w:ascii="Andalus" w:eastAsia="Andalus" w:hAnsi="Andalus" w:cs="Andalus"/>
                <w:color w:val="000000"/>
              </w:rPr>
            </w:pPr>
          </w:p>
        </w:tc>
      </w:tr>
      <w:tr w:rsidR="00823452" w14:paraId="4CB4E2DD" w14:textId="77777777">
        <w:tc>
          <w:tcPr>
            <w:tcW w:w="3943" w:type="dxa"/>
            <w:shd w:val="clear" w:color="auto" w:fill="EBF1DD"/>
          </w:tcPr>
          <w:p w14:paraId="4CB4E2D7" w14:textId="77777777" w:rsidR="00823452" w:rsidRDefault="00DF636F">
            <w:pPr>
              <w:rPr>
                <w:rFonts w:ascii="Andalus" w:eastAsia="Andalus" w:hAnsi="Andalus" w:cs="Andalus"/>
              </w:rPr>
            </w:pPr>
            <w:r>
              <w:rPr>
                <w:rFonts w:ascii="Andalus" w:eastAsia="Andalus" w:hAnsi="Andalus" w:cs="Andalus"/>
              </w:rPr>
              <w:t>Ce qu’impli</w:t>
            </w:r>
            <w:r w:rsidR="00794B6A">
              <w:rPr>
                <w:rFonts w:ascii="Andalus" w:eastAsia="Andalus" w:hAnsi="Andalus" w:cs="Andalus"/>
              </w:rPr>
              <w:t>que une Mobilité de six mois (32</w:t>
            </w:r>
            <w:r>
              <w:rPr>
                <w:rFonts w:ascii="Andalus" w:eastAsia="Andalus" w:hAnsi="Andalus" w:cs="Andalus"/>
              </w:rPr>
              <w:t xml:space="preserve"> ECTS)</w:t>
            </w:r>
          </w:p>
        </w:tc>
        <w:tc>
          <w:tcPr>
            <w:tcW w:w="10051" w:type="dxa"/>
          </w:tcPr>
          <w:p w14:paraId="4CB4E2D8" w14:textId="77777777" w:rsidR="00823452" w:rsidRDefault="00DF636F">
            <w:pPr>
              <w:rPr>
                <w:rFonts w:ascii="Andalus" w:eastAsia="Andalus" w:hAnsi="Andalus" w:cs="Andalus"/>
              </w:rPr>
            </w:pPr>
            <w:r>
              <w:rPr>
                <w:rFonts w:ascii="Andalus" w:eastAsia="Andalus" w:hAnsi="Andalus" w:cs="Andalus"/>
              </w:rPr>
              <w:t xml:space="preserve">Choix de cours apparentés aux intitulés Haute École pour un montant de </w:t>
            </w:r>
            <w:r>
              <w:rPr>
                <w:rFonts w:ascii="Andalus" w:eastAsia="Andalus" w:hAnsi="Andalus" w:cs="Andalus"/>
                <w:b/>
                <w:color w:val="FF0000"/>
              </w:rPr>
              <w:t>32 ects</w:t>
            </w:r>
            <w:r>
              <w:rPr>
                <w:rFonts w:ascii="Andalus" w:eastAsia="Andalus" w:hAnsi="Andalus" w:cs="Andalus"/>
              </w:rPr>
              <w:t>.</w:t>
            </w:r>
          </w:p>
          <w:p w14:paraId="4CB4E2D9" w14:textId="77777777" w:rsidR="00823452" w:rsidRDefault="00DF636F">
            <w:pPr>
              <w:rPr>
                <w:rFonts w:ascii="Andalus" w:eastAsia="Andalus" w:hAnsi="Andalus" w:cs="Andalus"/>
              </w:rPr>
            </w:pPr>
            <w:r>
              <w:rPr>
                <w:rFonts w:ascii="Andalus" w:eastAsia="Andalus" w:hAnsi="Andalus" w:cs="Andalus"/>
              </w:rPr>
              <w:t>Le second semestre se déroule en Belgique avec au programme:</w:t>
            </w:r>
          </w:p>
          <w:p w14:paraId="4CB4E2DA" w14:textId="77777777" w:rsidR="00823452" w:rsidRDefault="00DF636F">
            <w:pPr>
              <w:numPr>
                <w:ilvl w:val="0"/>
                <w:numId w:val="2"/>
              </w:numPr>
              <w:pBdr>
                <w:top w:val="nil"/>
                <w:left w:val="nil"/>
                <w:bottom w:val="nil"/>
                <w:right w:val="nil"/>
                <w:between w:val="nil"/>
              </w:pBdr>
              <w:spacing w:after="0" w:line="240" w:lineRule="auto"/>
              <w:rPr>
                <w:color w:val="000000"/>
                <w:sz w:val="24"/>
                <w:szCs w:val="24"/>
              </w:rPr>
            </w:pPr>
            <w:r>
              <w:rPr>
                <w:rFonts w:ascii="Andalus" w:eastAsia="Andalus" w:hAnsi="Andalus" w:cs="Andalus"/>
                <w:color w:val="000000"/>
              </w:rPr>
              <w:t>Le TFE 16 ECTS</w:t>
            </w:r>
          </w:p>
          <w:p w14:paraId="4CB4E2DB" w14:textId="77777777" w:rsidR="00823452" w:rsidRDefault="00DF636F">
            <w:pPr>
              <w:numPr>
                <w:ilvl w:val="0"/>
                <w:numId w:val="2"/>
              </w:numPr>
              <w:pBdr>
                <w:top w:val="nil"/>
                <w:left w:val="nil"/>
                <w:bottom w:val="nil"/>
                <w:right w:val="nil"/>
                <w:between w:val="nil"/>
              </w:pBdr>
              <w:spacing w:after="0" w:line="240" w:lineRule="auto"/>
              <w:rPr>
                <w:color w:val="000000"/>
                <w:sz w:val="24"/>
                <w:szCs w:val="24"/>
              </w:rPr>
            </w:pPr>
            <w:r>
              <w:rPr>
                <w:rFonts w:ascii="Andalus" w:eastAsia="Andalus" w:hAnsi="Andalus" w:cs="Andalus"/>
                <w:color w:val="000000"/>
              </w:rPr>
              <w:t>Le stage 12 ECTS</w:t>
            </w:r>
          </w:p>
          <w:p w14:paraId="4CB4E2DC" w14:textId="77777777" w:rsidR="00823452" w:rsidRDefault="00DF636F">
            <w:pPr>
              <w:ind w:left="720"/>
              <w:rPr>
                <w:rFonts w:ascii="Andalus" w:eastAsia="Andalus" w:hAnsi="Andalus" w:cs="Andalus"/>
                <w:b/>
                <w:color w:val="FF0000"/>
              </w:rPr>
            </w:pPr>
            <w:bookmarkStart w:id="0" w:name="_gjdgxs" w:colFirst="0" w:colLast="0"/>
            <w:bookmarkEnd w:id="0"/>
            <w:r>
              <w:rPr>
                <w:rFonts w:ascii="Andalus" w:eastAsia="Andalus" w:hAnsi="Andalus" w:cs="Andalus"/>
                <w:b/>
                <w:color w:val="FF0000"/>
              </w:rPr>
              <w:t>28 ects</w:t>
            </w:r>
            <w:r>
              <w:rPr>
                <w:noProof/>
                <w:lang w:val="en-US" w:eastAsia="en-US"/>
              </w:rPr>
              <mc:AlternateContent>
                <mc:Choice Requires="wps">
                  <w:drawing>
                    <wp:anchor distT="0" distB="0" distL="114300" distR="114300" simplePos="0" relativeHeight="251658240" behindDoc="0" locked="0" layoutInCell="1" hidden="0" allowOverlap="1" wp14:anchorId="4CB4E2F1" wp14:editId="4CB4E2F2">
                      <wp:simplePos x="0" y="0"/>
                      <wp:positionH relativeFrom="column">
                        <wp:posOffset>104776</wp:posOffset>
                      </wp:positionH>
                      <wp:positionV relativeFrom="paragraph">
                        <wp:posOffset>0</wp:posOffset>
                      </wp:positionV>
                      <wp:extent cx="257492" cy="190500"/>
                      <wp:effectExtent l="0" t="0" r="0" b="0"/>
                      <wp:wrapNone/>
                      <wp:docPr id="1" name="Flèche droite 1"/>
                      <wp:cNvGraphicFramePr/>
                      <a:graphic xmlns:a="http://schemas.openxmlformats.org/drawingml/2006/main">
                        <a:graphicData uri="http://schemas.microsoft.com/office/word/2010/wordprocessingShape">
                          <wps:wsp>
                            <wps:cNvSpPr/>
                            <wps:spPr>
                              <a:xfrm>
                                <a:off x="5150738" y="3708563"/>
                                <a:ext cx="390525" cy="142875"/>
                              </a:xfrm>
                              <a:prstGeom prst="rightArrow">
                                <a:avLst>
                                  <a:gd name="adj1" fmla="val 50000"/>
                                  <a:gd name="adj2" fmla="val 50000"/>
                                </a:avLst>
                              </a:prstGeom>
                              <a:solidFill>
                                <a:srgbClr val="4F81BD"/>
                              </a:solidFill>
                              <a:ln w="25400" cap="flat" cmpd="sng">
                                <a:solidFill>
                                  <a:srgbClr val="395E89"/>
                                </a:solidFill>
                                <a:prstDash val="solid"/>
                                <a:round/>
                                <a:headEnd type="none" w="sm" len="sm"/>
                                <a:tailEnd type="none" w="sm" len="sm"/>
                              </a:ln>
                            </wps:spPr>
                            <wps:txbx>
                              <w:txbxContent>
                                <w:p w14:paraId="4CB4E2FD" w14:textId="77777777" w:rsidR="00823452" w:rsidRDefault="00823452">
                                  <w:pPr>
                                    <w:spacing w:after="0" w:line="240" w:lineRule="auto"/>
                                    <w:textDirection w:val="btLr"/>
                                  </w:pPr>
                                </w:p>
                              </w:txbxContent>
                            </wps:txbx>
                            <wps:bodyPr spcFirstLastPara="1" wrap="square" lIns="91425" tIns="91425" rIns="91425" bIns="91425" anchor="ctr" anchorCtr="0"/>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left:0;text-align:left;margin-left:8.25pt;margin-top:0;width:20.2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" adj="17649" fillcolor="#4f81bd" strokecolor="#395e89" strokeweight="2pt">
                      <v:stroke startarrowwidth="narrow" startarrowlength="short" endarrowwidth="narrow" endarrowlength="short" joinstyle="round"/>
                      <v:textbox inset="2.53958mm,2.53958mm,2.53958mm,2.53958mm">
                        <w:txbxContent>
                          <w:p w:rsidR="00823452" w:rsidRDefault="00823452">
                            <w:pPr>
                              <w:spacing w:after="0" w:line="240" w:lineRule="auto"/>
                              <w:textDirection w:val="btLr"/>
                            </w:pPr>
                          </w:p>
                        </w:txbxContent>
                      </v:textbox>
                    </v:shape>
                  </w:pict>
                </mc:Fallback>
              </mc:AlternateContent>
            </w:r>
          </w:p>
        </w:tc>
      </w:tr>
      <w:tr w:rsidR="00823452" w14:paraId="4CB4E2E0" w14:textId="77777777">
        <w:tc>
          <w:tcPr>
            <w:tcW w:w="3943" w:type="dxa"/>
            <w:shd w:val="clear" w:color="auto" w:fill="EBF1DD"/>
          </w:tcPr>
          <w:p w14:paraId="4CB4E2DE" w14:textId="77777777" w:rsidR="00823452" w:rsidRDefault="00DF636F">
            <w:pPr>
              <w:rPr>
                <w:rFonts w:ascii="Andalus" w:eastAsia="Andalus" w:hAnsi="Andalus" w:cs="Andalus"/>
              </w:rPr>
            </w:pPr>
            <w:r>
              <w:rPr>
                <w:rFonts w:ascii="Andalus" w:eastAsia="Andalus" w:hAnsi="Andalus" w:cs="Andalus"/>
              </w:rPr>
              <w:t>Conditions de modification de programme par l’étudiant avec l’accord des deux Institutions partenaires</w:t>
            </w:r>
          </w:p>
        </w:tc>
        <w:tc>
          <w:tcPr>
            <w:tcW w:w="10051" w:type="dxa"/>
          </w:tcPr>
          <w:p w14:paraId="4CB4E2DF" w14:textId="77777777" w:rsidR="00823452" w:rsidRDefault="00DF636F">
            <w:pPr>
              <w:rPr>
                <w:rFonts w:ascii="Andalus" w:eastAsia="Andalus" w:hAnsi="Andalus" w:cs="Andalus"/>
              </w:rPr>
            </w:pPr>
            <w:r>
              <w:rPr>
                <w:rFonts w:ascii="Andalus" w:eastAsia="Andalus" w:hAnsi="Andalus" w:cs="Andalus"/>
              </w:rPr>
              <w:t>En cas de conflit d’horaire constaté sur place ou d’inadéquation d’une discipline par rapport à la formation de l’étudiant en mobilité, et sur la base d’un commentaire précis de l’étudiant justifiant toute demande de changement, les modifications sont admises jusqu’au 15 octobre.</w:t>
            </w:r>
          </w:p>
        </w:tc>
      </w:tr>
      <w:tr w:rsidR="00823452" w14:paraId="4CB4E2E3" w14:textId="77777777">
        <w:tc>
          <w:tcPr>
            <w:tcW w:w="3943" w:type="dxa"/>
            <w:shd w:val="clear" w:color="auto" w:fill="EBF1DD"/>
          </w:tcPr>
          <w:p w14:paraId="4CB4E2E1" w14:textId="77777777" w:rsidR="00823452" w:rsidRDefault="00DF636F">
            <w:pPr>
              <w:rPr>
                <w:rFonts w:ascii="Andalus" w:eastAsia="Andalus" w:hAnsi="Andalus" w:cs="Andalus"/>
              </w:rPr>
            </w:pPr>
            <w:r>
              <w:rPr>
                <w:rFonts w:ascii="Andalus" w:eastAsia="Andalus" w:hAnsi="Andalus" w:cs="Andalus"/>
              </w:rPr>
              <w:lastRenderedPageBreak/>
              <w:t>En cas d’échecs en Mobilité (Session 1)</w:t>
            </w:r>
          </w:p>
        </w:tc>
        <w:tc>
          <w:tcPr>
            <w:tcW w:w="10051" w:type="dxa"/>
          </w:tcPr>
          <w:p w14:paraId="4CB4E2E2" w14:textId="77777777" w:rsidR="00823452" w:rsidRDefault="00DF636F">
            <w:pPr>
              <w:rPr>
                <w:rFonts w:ascii="Andalus" w:eastAsia="Andalus" w:hAnsi="Andalus" w:cs="Andalus"/>
              </w:rPr>
            </w:pPr>
            <w:r>
              <w:rPr>
                <w:rFonts w:ascii="Andalus" w:eastAsia="Andalus" w:hAnsi="Andalus" w:cs="Andalus"/>
              </w:rPr>
              <w:t>Les échecs essuyés au terme de la session 1 d’examens passée dans l’Université d’accueil doivent être représentés au sein de l’Université d’accueil suivant les modalités et les horaires prévus dans cette dernière.</w:t>
            </w:r>
          </w:p>
        </w:tc>
      </w:tr>
    </w:tbl>
    <w:p w14:paraId="4CB4E2E4" w14:textId="77777777" w:rsidR="00823452" w:rsidRDefault="00823452">
      <w:pPr>
        <w:widowControl w:val="0"/>
        <w:pBdr>
          <w:top w:val="nil"/>
          <w:left w:val="nil"/>
          <w:bottom w:val="nil"/>
          <w:right w:val="nil"/>
          <w:between w:val="nil"/>
        </w:pBdr>
        <w:spacing w:after="0"/>
        <w:rPr>
          <w:rFonts w:ascii="Andalus" w:eastAsia="Andalus" w:hAnsi="Andalus" w:cs="Andalus"/>
        </w:rPr>
      </w:pPr>
    </w:p>
    <w:tbl>
      <w:tblPr>
        <w:tblStyle w:val="a0"/>
        <w:tblW w:w="13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0030"/>
      </w:tblGrid>
      <w:tr w:rsidR="00823452" w14:paraId="4CB4E2E8" w14:textId="77777777">
        <w:tc>
          <w:tcPr>
            <w:tcW w:w="3964" w:type="dxa"/>
            <w:shd w:val="clear" w:color="auto" w:fill="D7E3BC"/>
          </w:tcPr>
          <w:p w14:paraId="4CB4E2E5" w14:textId="77777777" w:rsidR="00823452" w:rsidRDefault="00DF636F">
            <w:pPr>
              <w:rPr>
                <w:rFonts w:ascii="Andalus" w:eastAsia="Andalus" w:hAnsi="Andalus" w:cs="Andalus"/>
                <w:sz w:val="24"/>
                <w:szCs w:val="24"/>
              </w:rPr>
            </w:pPr>
            <w:r>
              <w:rPr>
                <w:rFonts w:ascii="Andalus" w:eastAsia="Andalus" w:hAnsi="Andalus" w:cs="Andalus"/>
                <w:sz w:val="24"/>
                <w:szCs w:val="24"/>
              </w:rPr>
              <w:t xml:space="preserve">En cas d’échec(s) en retour de mobilité </w:t>
            </w:r>
          </w:p>
        </w:tc>
        <w:tc>
          <w:tcPr>
            <w:tcW w:w="10030" w:type="dxa"/>
          </w:tcPr>
          <w:p w14:paraId="4CB4E2E6" w14:textId="77777777" w:rsidR="00823452" w:rsidRDefault="00DF636F">
            <w:pPr>
              <w:rPr>
                <w:rFonts w:ascii="Andalus" w:eastAsia="Andalus" w:hAnsi="Andalus" w:cs="Andalus"/>
                <w:sz w:val="24"/>
                <w:szCs w:val="24"/>
              </w:rPr>
            </w:pPr>
            <w:r>
              <w:rPr>
                <w:rFonts w:ascii="Andalus" w:eastAsia="Andalus" w:hAnsi="Andalus" w:cs="Andalus"/>
                <w:sz w:val="24"/>
                <w:szCs w:val="24"/>
              </w:rPr>
              <w:t xml:space="preserve">Les échecs essuyés </w:t>
            </w:r>
            <w:r>
              <w:rPr>
                <w:rFonts w:ascii="Andalus" w:eastAsia="Andalus" w:hAnsi="Andalus" w:cs="Andalus"/>
                <w:b/>
                <w:sz w:val="24"/>
                <w:szCs w:val="24"/>
              </w:rPr>
              <w:t>au terme de la seconde session d’examens</w:t>
            </w:r>
            <w:r>
              <w:rPr>
                <w:rFonts w:ascii="Andalus" w:eastAsia="Andalus" w:hAnsi="Andalus" w:cs="Andalus"/>
                <w:sz w:val="24"/>
                <w:szCs w:val="24"/>
              </w:rPr>
              <w:t xml:space="preserve"> passée dans l’Université d’accueil doivent être représentés </w:t>
            </w:r>
            <w:r>
              <w:rPr>
                <w:rFonts w:ascii="Andalus" w:eastAsia="Andalus" w:hAnsi="Andalus" w:cs="Andalus"/>
                <w:b/>
                <w:sz w:val="24"/>
                <w:szCs w:val="24"/>
              </w:rPr>
              <w:t>au sein de la HECH</w:t>
            </w:r>
            <w:r>
              <w:rPr>
                <w:rFonts w:ascii="Andalus" w:eastAsia="Andalus" w:hAnsi="Andalus" w:cs="Andalus"/>
                <w:sz w:val="24"/>
                <w:szCs w:val="24"/>
              </w:rPr>
              <w:t> :</w:t>
            </w:r>
            <w:r>
              <w:rPr>
                <w:noProof/>
                <w:lang w:val="en-US" w:eastAsia="en-US"/>
              </w:rPr>
              <mc:AlternateContent>
                <mc:Choice Requires="wps">
                  <w:drawing>
                    <wp:anchor distT="0" distB="0" distL="114300" distR="114300" simplePos="0" relativeHeight="251659264" behindDoc="0" locked="0" layoutInCell="1" hidden="0" allowOverlap="1" wp14:anchorId="4CB4E2F3" wp14:editId="4CB4E2F4">
                      <wp:simplePos x="0" y="0"/>
                      <wp:positionH relativeFrom="column">
                        <wp:posOffset>177800</wp:posOffset>
                      </wp:positionH>
                      <wp:positionV relativeFrom="paragraph">
                        <wp:posOffset>317500</wp:posOffset>
                      </wp:positionV>
                      <wp:extent cx="330200" cy="254000"/>
                      <wp:effectExtent l="0" t="0" r="0" b="0"/>
                      <wp:wrapNone/>
                      <wp:docPr id="2" name="Flèche droite 2"/>
                      <wp:cNvGraphicFramePr/>
                      <a:graphic xmlns:a="http://schemas.openxmlformats.org/drawingml/2006/main">
                        <a:graphicData uri="http://schemas.microsoft.com/office/word/2010/wordprocessingShape">
                          <wps:wsp>
                            <wps:cNvSpPr/>
                            <wps:spPr>
                              <a:xfrm>
                                <a:off x="5193600" y="3665700"/>
                                <a:ext cx="304800" cy="228600"/>
                              </a:xfrm>
                              <a:prstGeom prst="right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14:paraId="4CB4E2FE" w14:textId="77777777" w:rsidR="00823452" w:rsidRDefault="00823452">
                                  <w:pPr>
                                    <w:spacing w:after="0" w:line="240" w:lineRule="auto"/>
                                    <w:textDirection w:val="btLr"/>
                                  </w:pPr>
                                </w:p>
                              </w:txbxContent>
                            </wps:txbx>
                            <wps:bodyPr spcFirstLastPara="1" wrap="square" lIns="91425" tIns="91425" rIns="91425" bIns="91425" anchor="ctr" anchorCtr="0"/>
                          </wps:wsp>
                        </a:graphicData>
                      </a:graphic>
                    </wp:anchor>
                  </w:drawing>
                </mc:Choice>
                <mc:Fallback>
                  <w:pict>
                    <v:shape id="Flèche droite 2" o:spid="_x0000_s1027" type="#_x0000_t13" style="position:absolute;margin-left:14pt;margin-top:25pt;width:26pt;height: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" adj="13500" fillcolor="#4f81bd [3204]" strokecolor="#395e89" strokeweight="2pt">
                      <v:stroke startarrowwidth="narrow" startarrowlength="short" endarrowwidth="narrow" endarrowlength="short" joinstyle="round"/>
                      <v:textbox inset="2.53958mm,2.53958mm,2.53958mm,2.53958mm">
                        <w:txbxContent>
                          <w:p w:rsidR="00823452" w:rsidRDefault="00823452">
                            <w:pPr>
                              <w:spacing w:after="0" w:line="240" w:lineRule="auto"/>
                              <w:textDirection w:val="btLr"/>
                            </w:pPr>
                          </w:p>
                        </w:txbxContent>
                      </v:textbox>
                    </v:shape>
                  </w:pict>
                </mc:Fallback>
              </mc:AlternateContent>
            </w:r>
          </w:p>
          <w:p w14:paraId="4CB4E2E7" w14:textId="77777777" w:rsidR="00823452" w:rsidRDefault="00DF636F">
            <w:pPr>
              <w:pBdr>
                <w:top w:val="nil"/>
                <w:left w:val="nil"/>
                <w:bottom w:val="nil"/>
                <w:right w:val="nil"/>
                <w:between w:val="nil"/>
              </w:pBdr>
              <w:spacing w:after="0" w:line="240" w:lineRule="auto"/>
              <w:ind w:left="720"/>
              <w:rPr>
                <w:rFonts w:ascii="Andalus" w:eastAsia="Andalus" w:hAnsi="Andalus" w:cs="Andalus"/>
                <w:color w:val="000000"/>
                <w:sz w:val="24"/>
                <w:szCs w:val="24"/>
              </w:rPr>
            </w:pPr>
            <w:r>
              <w:rPr>
                <w:rFonts w:ascii="Andalus" w:eastAsia="Andalus" w:hAnsi="Andalus" w:cs="Andalus"/>
                <w:color w:val="000000"/>
                <w:sz w:val="24"/>
                <w:szCs w:val="24"/>
              </w:rPr>
              <w:t>Sous la forme des épreuves prévues dans le Bloc 2 ou le Bloc 3 dans le respect des UE les plus apparentées aux échecs essuyés en mobilité, 2</w:t>
            </w:r>
            <w:r>
              <w:rPr>
                <w:rFonts w:ascii="Andalus" w:eastAsia="Andalus" w:hAnsi="Andalus" w:cs="Andalus"/>
                <w:color w:val="000000"/>
                <w:sz w:val="24"/>
                <w:szCs w:val="24"/>
                <w:vertAlign w:val="superscript"/>
              </w:rPr>
              <w:t>e</w:t>
            </w:r>
            <w:r>
              <w:rPr>
                <w:rFonts w:ascii="Andalus" w:eastAsia="Andalus" w:hAnsi="Andalus" w:cs="Andalus"/>
                <w:color w:val="000000"/>
                <w:sz w:val="24"/>
                <w:szCs w:val="24"/>
              </w:rPr>
              <w:t xml:space="preserve"> Bloc ou 3</w:t>
            </w:r>
            <w:r>
              <w:rPr>
                <w:rFonts w:ascii="Andalus" w:eastAsia="Andalus" w:hAnsi="Andalus" w:cs="Andalus"/>
                <w:color w:val="000000"/>
                <w:sz w:val="24"/>
                <w:szCs w:val="24"/>
                <w:vertAlign w:val="superscript"/>
              </w:rPr>
              <w:t>e</w:t>
            </w:r>
            <w:r>
              <w:rPr>
                <w:rFonts w:ascii="Andalus" w:eastAsia="Andalus" w:hAnsi="Andalus" w:cs="Andalus"/>
                <w:color w:val="000000"/>
                <w:sz w:val="24"/>
                <w:szCs w:val="24"/>
              </w:rPr>
              <w:t xml:space="preserve"> Bloc, sous réserve d’approbation du programme par les membres de la CAVP.</w:t>
            </w:r>
          </w:p>
        </w:tc>
      </w:tr>
    </w:tbl>
    <w:p w14:paraId="4CB4E2E9" w14:textId="77777777" w:rsidR="00823452" w:rsidRDefault="00823452">
      <w:pPr>
        <w:widowControl w:val="0"/>
        <w:pBdr>
          <w:top w:val="nil"/>
          <w:left w:val="nil"/>
          <w:bottom w:val="nil"/>
          <w:right w:val="nil"/>
          <w:between w:val="nil"/>
        </w:pBdr>
        <w:spacing w:after="0"/>
        <w:rPr>
          <w:rFonts w:ascii="Andalus" w:eastAsia="Andalus" w:hAnsi="Andalus" w:cs="Andalus"/>
          <w:color w:val="000000"/>
          <w:sz w:val="24"/>
          <w:szCs w:val="24"/>
        </w:rPr>
      </w:pPr>
    </w:p>
    <w:tbl>
      <w:tblPr>
        <w:tblStyle w:val="a1"/>
        <w:tblW w:w="13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0030"/>
      </w:tblGrid>
      <w:tr w:rsidR="00823452" w14:paraId="4CB4E2ED" w14:textId="77777777">
        <w:tc>
          <w:tcPr>
            <w:tcW w:w="3964" w:type="dxa"/>
            <w:shd w:val="clear" w:color="auto" w:fill="EBF1DD"/>
          </w:tcPr>
          <w:p w14:paraId="4CB4E2EA" w14:textId="77777777" w:rsidR="00823452" w:rsidRDefault="00DF636F">
            <w:pPr>
              <w:rPr>
                <w:rFonts w:ascii="Andalus" w:eastAsia="Andalus" w:hAnsi="Andalus" w:cs="Andalus"/>
                <w:sz w:val="24"/>
                <w:szCs w:val="24"/>
              </w:rPr>
            </w:pPr>
            <w:r>
              <w:rPr>
                <w:rFonts w:ascii="Andalus" w:eastAsia="Andalus" w:hAnsi="Andalus" w:cs="Andalus"/>
                <w:sz w:val="24"/>
                <w:szCs w:val="24"/>
              </w:rPr>
              <w:t>Délibérations au retour d’une Mobilité</w:t>
            </w:r>
          </w:p>
        </w:tc>
        <w:tc>
          <w:tcPr>
            <w:tcW w:w="10030" w:type="dxa"/>
          </w:tcPr>
          <w:p w14:paraId="4CB4E2EB" w14:textId="77777777" w:rsidR="00823452" w:rsidRDefault="00DF636F">
            <w:pPr>
              <w:rPr>
                <w:rFonts w:ascii="Andalus" w:eastAsia="Andalus" w:hAnsi="Andalus" w:cs="Andalus"/>
                <w:sz w:val="24"/>
                <w:szCs w:val="24"/>
              </w:rPr>
            </w:pPr>
            <w:r>
              <w:rPr>
                <w:rFonts w:ascii="Andalus" w:eastAsia="Andalus" w:hAnsi="Andalus" w:cs="Andalus"/>
                <w:sz w:val="24"/>
                <w:szCs w:val="24"/>
              </w:rPr>
              <w:t>Compte tenu de la disparité des calendriers académiques au sein des Institutions partenaires de la heCh, les étudiants en mobilité académique « en session 1 ouverte » sont délibérés pour le compte de la première session au plus tard le jour de la délibération des secondes sessions heCh ou, si cela est possible, en séance de délibération exceptionnelle fin août, sur base du relevé de notes («  Transcript of records ») envoyé par l’institution d’accueil ; les notes obtenues font l’objet d’une conversion selon le système ECTS (disponible sur le site internet de la heCh, onglet « relations internationales »).</w:t>
            </w:r>
          </w:p>
          <w:p w14:paraId="4CB4E2EC" w14:textId="77777777" w:rsidR="00823452" w:rsidRDefault="00DF636F">
            <w:pPr>
              <w:rPr>
                <w:rFonts w:ascii="Andalus" w:eastAsia="Andalus" w:hAnsi="Andalus" w:cs="Andalus"/>
                <w:b/>
                <w:sz w:val="24"/>
                <w:szCs w:val="24"/>
              </w:rPr>
            </w:pPr>
            <w:r>
              <w:rPr>
                <w:rFonts w:ascii="Andalus" w:eastAsia="Andalus" w:hAnsi="Andalus" w:cs="Andalus"/>
                <w:b/>
                <w:sz w:val="24"/>
                <w:szCs w:val="24"/>
              </w:rPr>
              <w:t>Pour permettre aux jurys de délibération de siéger valablement et ce, compte tenu toujours des disparités de calendriers, l’étudiant en retour de mobilité prendra le soin de se présenter au BRI avec son accès à l’Intranet de l’Université locale dès le moment où ses notes d’évaluation lui sont intégralement accessibles.</w:t>
            </w:r>
          </w:p>
        </w:tc>
      </w:tr>
    </w:tbl>
    <w:p w14:paraId="4CB4E2EE" w14:textId="77777777" w:rsidR="00823452" w:rsidRDefault="00823452">
      <w:bookmarkStart w:id="1" w:name="_GoBack"/>
      <w:bookmarkEnd w:id="1"/>
    </w:p>
    <w:sectPr w:rsidR="00823452">
      <w:headerReference w:type="default" r:id="rId11"/>
      <w:footerReference w:type="default" r:id="rId12"/>
      <w:pgSz w:w="16838" w:h="11906"/>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4E2F7" w14:textId="77777777" w:rsidR="0085327F" w:rsidRDefault="0085327F">
      <w:pPr>
        <w:spacing w:after="0" w:line="240" w:lineRule="auto"/>
      </w:pPr>
      <w:r>
        <w:separator/>
      </w:r>
    </w:p>
  </w:endnote>
  <w:endnote w:type="continuationSeparator" w:id="0">
    <w:p w14:paraId="4CB4E2F8" w14:textId="77777777" w:rsidR="0085327F" w:rsidRDefault="0085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alu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riol 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4E2FA" w14:textId="77777777" w:rsidR="00823452" w:rsidRDefault="00DF636F">
    <w:pPr>
      <w:pBdr>
        <w:top w:val="nil"/>
        <w:left w:val="nil"/>
        <w:bottom w:val="nil"/>
        <w:right w:val="nil"/>
        <w:between w:val="nil"/>
      </w:pBdr>
      <w:tabs>
        <w:tab w:val="center" w:pos="4536"/>
        <w:tab w:val="right" w:pos="9072"/>
      </w:tabs>
      <w:spacing w:after="0" w:line="240" w:lineRule="auto"/>
      <w:jc w:val="right"/>
      <w:rPr>
        <w:rFonts w:ascii="Andalus" w:eastAsia="Andalus" w:hAnsi="Andalus" w:cs="Andalus"/>
        <w:color w:val="000000"/>
        <w:sz w:val="16"/>
        <w:szCs w:val="16"/>
      </w:rPr>
    </w:pPr>
    <w:r>
      <w:rPr>
        <w:rFonts w:ascii="Andalus" w:eastAsia="Andalus" w:hAnsi="Andalus" w:cs="Andalus"/>
        <w:color w:val="000000"/>
        <w:sz w:val="16"/>
        <w:szCs w:val="16"/>
      </w:rPr>
      <w:t xml:space="preserve">Principes de Mobilité étudiante en Section Immobilier  (SMS/SMP) – Document inspiré du RGJE de la HECH et du Guide des bonnes pratiques en matière de Mobilité – </w:t>
    </w:r>
  </w:p>
  <w:p w14:paraId="4CB4E2FB" w14:textId="68A1ABEE" w:rsidR="00823452" w:rsidRDefault="00FD29A7">
    <w:pPr>
      <w:pBdr>
        <w:top w:val="nil"/>
        <w:left w:val="nil"/>
        <w:bottom w:val="nil"/>
        <w:right w:val="nil"/>
        <w:between w:val="nil"/>
      </w:pBdr>
      <w:tabs>
        <w:tab w:val="center" w:pos="4536"/>
        <w:tab w:val="right" w:pos="9072"/>
      </w:tabs>
      <w:spacing w:after="0" w:line="240" w:lineRule="auto"/>
      <w:jc w:val="right"/>
      <w:rPr>
        <w:rFonts w:ascii="Andalus" w:eastAsia="Andalus" w:hAnsi="Andalus" w:cs="Andalus"/>
        <w:color w:val="000000"/>
      </w:rPr>
    </w:pPr>
    <w:r>
      <w:rPr>
        <w:rFonts w:ascii="Andalus" w:eastAsia="Andalus" w:hAnsi="Andalus" w:cs="Andalus"/>
        <w:color w:val="000000"/>
        <w:sz w:val="16"/>
        <w:szCs w:val="16"/>
      </w:rPr>
      <w:t xml:space="preserve">A.-M. Martín Lanero -  </w:t>
    </w:r>
    <w:r w:rsidR="00794B6A">
      <w:rPr>
        <w:rFonts w:ascii="Andalus" w:eastAsia="Andalus" w:hAnsi="Andalus" w:cs="Andalus"/>
        <w:color w:val="000000"/>
        <w:sz w:val="16"/>
        <w:szCs w:val="16"/>
      </w:rPr>
      <w:t>2021</w:t>
    </w:r>
    <w:r w:rsidR="00362B88">
      <w:rPr>
        <w:rFonts w:ascii="Andalus" w:eastAsia="Andalus" w:hAnsi="Andalus" w:cs="Andalus"/>
        <w:color w:val="000000"/>
        <w:sz w:val="16"/>
        <w:szCs w:val="16"/>
      </w:rPr>
      <w:t>-2022</w:t>
    </w:r>
  </w:p>
  <w:p w14:paraId="4CB4E2FC" w14:textId="77777777" w:rsidR="00823452" w:rsidRDefault="0082345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4E2F5" w14:textId="77777777" w:rsidR="0085327F" w:rsidRDefault="0085327F">
      <w:pPr>
        <w:spacing w:after="0" w:line="240" w:lineRule="auto"/>
      </w:pPr>
      <w:r>
        <w:separator/>
      </w:r>
    </w:p>
  </w:footnote>
  <w:footnote w:type="continuationSeparator" w:id="0">
    <w:p w14:paraId="4CB4E2F6" w14:textId="77777777" w:rsidR="0085327F" w:rsidRDefault="00853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4E2F9" w14:textId="77777777" w:rsidR="00823452" w:rsidRDefault="0082345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A3255"/>
    <w:multiLevelType w:val="multilevel"/>
    <w:tmpl w:val="5C3A9B74"/>
    <w:lvl w:ilvl="0">
      <w:start w:val="1"/>
      <w:numFmt w:val="bullet"/>
      <w:lvlText w:val="-"/>
      <w:lvlJc w:val="left"/>
      <w:pPr>
        <w:ind w:left="720" w:hanging="360"/>
      </w:pPr>
      <w:rPr>
        <w:rFonts w:ascii="Andalus" w:eastAsia="Andalus" w:hAnsi="Andalus" w:cs="Andalu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7357BD"/>
    <w:multiLevelType w:val="multilevel"/>
    <w:tmpl w:val="8B441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52"/>
    <w:rsid w:val="00362B88"/>
    <w:rsid w:val="003D7981"/>
    <w:rsid w:val="00562E78"/>
    <w:rsid w:val="00794B6A"/>
    <w:rsid w:val="00823452"/>
    <w:rsid w:val="0085327F"/>
    <w:rsid w:val="00DD188F"/>
    <w:rsid w:val="00DF636F"/>
    <w:rsid w:val="00FD29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E2A2"/>
  <w15:docId w15:val="{4653C56E-4ACC-4BA5-AF8C-064D36CE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spacing w:before="240" w:after="60" w:line="240" w:lineRule="auto"/>
      <w:outlineLvl w:val="0"/>
    </w:pPr>
    <w:rPr>
      <w:rFonts w:ascii="Cambria" w:eastAsia="Cambria" w:hAnsi="Cambria" w:cs="Cambria"/>
      <w:b/>
      <w:sz w:val="32"/>
      <w:szCs w:val="32"/>
    </w:rPr>
  </w:style>
  <w:style w:type="paragraph" w:styleId="Titre2">
    <w:name w:val="heading 2"/>
    <w:basedOn w:val="Normal"/>
    <w:next w:val="Normal"/>
    <w:pPr>
      <w:keepNext/>
      <w:keepLines/>
      <w:spacing w:before="200" w:after="0" w:line="240" w:lineRule="auto"/>
      <w:outlineLvl w:val="1"/>
    </w:pPr>
    <w:rPr>
      <w:rFonts w:ascii="Cambria" w:eastAsia="Cambria" w:hAnsi="Cambria" w:cs="Cambria"/>
      <w:b/>
      <w:color w:val="4F81BD"/>
      <w:sz w:val="26"/>
      <w:szCs w:val="26"/>
    </w:rPr>
  </w:style>
  <w:style w:type="paragraph" w:styleId="Titre3">
    <w:name w:val="heading 3"/>
    <w:basedOn w:val="Normal"/>
    <w:next w:val="Normal"/>
    <w:pPr>
      <w:keepNext/>
      <w:keepLines/>
      <w:spacing w:before="200" w:after="0" w:line="240" w:lineRule="auto"/>
      <w:outlineLvl w:val="2"/>
    </w:pPr>
    <w:rPr>
      <w:rFonts w:ascii="Cambria" w:eastAsia="Cambria" w:hAnsi="Cambria" w:cs="Cambria"/>
      <w:b/>
      <w:color w:val="4F81BD"/>
      <w:sz w:val="24"/>
      <w:szCs w:val="24"/>
    </w:rPr>
  </w:style>
  <w:style w:type="paragraph" w:styleId="Titre4">
    <w:name w:val="heading 4"/>
    <w:basedOn w:val="Normal"/>
    <w:next w:val="Normal"/>
    <w:pPr>
      <w:keepNext/>
      <w:keepLines/>
      <w:spacing w:before="200" w:after="0" w:line="240" w:lineRule="auto"/>
      <w:outlineLvl w:val="3"/>
    </w:pPr>
    <w:rPr>
      <w:rFonts w:ascii="Cambria" w:eastAsia="Cambria" w:hAnsi="Cambria" w:cs="Cambria"/>
      <w:b/>
      <w:i/>
      <w:color w:val="4F81BD"/>
      <w:sz w:val="24"/>
      <w:szCs w:val="24"/>
    </w:rPr>
  </w:style>
  <w:style w:type="paragraph" w:styleId="Titre5">
    <w:name w:val="heading 5"/>
    <w:basedOn w:val="Normal"/>
    <w:next w:val="Normal"/>
    <w:pPr>
      <w:keepNext/>
      <w:keepLines/>
      <w:spacing w:before="200" w:after="0" w:line="240" w:lineRule="auto"/>
      <w:outlineLvl w:val="4"/>
    </w:pPr>
    <w:rPr>
      <w:rFonts w:ascii="Cambria" w:eastAsia="Cambria" w:hAnsi="Cambria" w:cs="Cambria"/>
      <w:color w:val="243F61"/>
      <w:sz w:val="24"/>
      <w:szCs w:val="24"/>
    </w:rPr>
  </w:style>
  <w:style w:type="paragraph" w:styleId="Titre6">
    <w:name w:val="heading 6"/>
    <w:basedOn w:val="Normal"/>
    <w:next w:val="Normal"/>
    <w:pPr>
      <w:keepNext/>
      <w:keepLines/>
      <w:spacing w:before="200" w:after="0" w:line="240" w:lineRule="auto"/>
      <w:outlineLvl w:val="5"/>
    </w:pPr>
    <w:rPr>
      <w:rFonts w:ascii="Cambria" w:eastAsia="Cambria" w:hAnsi="Cambria" w:cs="Cambria"/>
      <w:i/>
      <w:color w:val="243F6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ous-titre">
    <w:name w:val="Subtitle"/>
    <w:basedOn w:val="Normal"/>
    <w:next w:val="Normal"/>
    <w:pPr>
      <w:spacing w:after="0" w:line="240" w:lineRule="auto"/>
    </w:pPr>
    <w:rPr>
      <w:rFonts w:ascii="Cambria" w:eastAsia="Cambria" w:hAnsi="Cambria" w:cs="Cambria"/>
      <w:i/>
      <w:color w:val="4F81BD"/>
      <w:sz w:val="24"/>
      <w:szCs w:val="24"/>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FD29A7"/>
    <w:pPr>
      <w:tabs>
        <w:tab w:val="center" w:pos="4536"/>
        <w:tab w:val="right" w:pos="9072"/>
      </w:tabs>
      <w:spacing w:after="0" w:line="240" w:lineRule="auto"/>
    </w:pPr>
  </w:style>
  <w:style w:type="character" w:customStyle="1" w:styleId="En-tteCar">
    <w:name w:val="En-tête Car"/>
    <w:basedOn w:val="Policepardfaut"/>
    <w:link w:val="En-tte"/>
    <w:uiPriority w:val="99"/>
    <w:rsid w:val="00FD29A7"/>
  </w:style>
  <w:style w:type="paragraph" w:styleId="Pieddepage">
    <w:name w:val="footer"/>
    <w:basedOn w:val="Normal"/>
    <w:link w:val="PieddepageCar"/>
    <w:uiPriority w:val="99"/>
    <w:unhideWhenUsed/>
    <w:rsid w:val="00FD29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516D1C8D3AB42A4E15AEFA8FD90CF" ma:contentTypeVersion="2" ma:contentTypeDescription="Crée un document." ma:contentTypeScope="" ma:versionID="5555c37d35df71cdcfe884aa9582646e">
  <xsd:schema xmlns:xsd="http://www.w3.org/2001/XMLSchema" xmlns:xs="http://www.w3.org/2001/XMLSchema" xmlns:p="http://schemas.microsoft.com/office/2006/metadata/properties" xmlns:ns2="078ba0c3-00a8-4654-8797-462f30504be7" targetNamespace="http://schemas.microsoft.com/office/2006/metadata/properties" ma:root="true" ma:fieldsID="43a7c303224db3c1cf286a9e3be84b08" ns2:_="">
    <xsd:import namespace="078ba0c3-00a8-4654-8797-462f30504b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ba0c3-00a8-4654-8797-462f30504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ED88F1-10E3-47BA-86D2-04955018390E}"/>
</file>

<file path=customXml/itemProps2.xml><?xml version="1.0" encoding="utf-8"?>
<ds:datastoreItem xmlns:ds="http://schemas.openxmlformats.org/officeDocument/2006/customXml" ds:itemID="{82188DAA-3E74-4368-94E9-CEA1B89EC255}">
  <ds:schemaRefs>
    <ds:schemaRef ds:uri="http://schemas.microsoft.com/sharepoint/v3/contenttype/forms"/>
  </ds:schemaRefs>
</ds:datastoreItem>
</file>

<file path=customXml/itemProps3.xml><?xml version="1.0" encoding="utf-8"?>
<ds:datastoreItem xmlns:ds="http://schemas.openxmlformats.org/officeDocument/2006/customXml" ds:itemID="{BD1F0EBC-2ACA-454A-9F70-37464220769C}">
  <ds:schemaRefs>
    <ds:schemaRef ds:uri="http://purl.org/dc/elements/1.1/"/>
    <ds:schemaRef ds:uri="http://schemas.microsoft.com/office/2006/metadata/properties"/>
    <ds:schemaRef ds:uri="7085a9bd-2da4-4612-bd7f-66ebc9f389e4"/>
    <ds:schemaRef ds:uri="a537c096-f482-4390-a68d-5b19d2f7312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1077</Words>
  <Characters>6143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dc:creator>
  <cp:lastModifiedBy>Martin Lanero Anne-Marie</cp:lastModifiedBy>
  <cp:revision>3</cp:revision>
  <dcterms:created xsi:type="dcterms:W3CDTF">2021-02-08T09:36:00Z</dcterms:created>
  <dcterms:modified xsi:type="dcterms:W3CDTF">2021-02-08T09:40:00Z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0x01010065F516D1C8D3AB42A4E15AEFA8FD90CF</vt:lpwstr>
  </property>
</Properties>
</file>